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PE19.001536 vom 21. August 2020</w:t>
      </w:r>
    </w:p>
    <w:p>
      <w:r>
        <w:t>VD Tribunal cantonal, 2020-08-21, FR</w:t>
      </w:r>
    </w:p>
    <w:p>
      <w:r>
        <w:rPr>
          <w:b/>
        </w:rPr>
        <w:t xml:space="preserve">Quelle: </w:t>
      </w:r>
      <w:r>
        <w:t>https://mcp.opencaselaw.ch/entscheid/vd_gerichte_PE19.001536</w:t>
      </w:r>
    </w:p>
    <w:p>
      <w:r>
        <w:t>FR: VD_GERICHTE PE19.001536 du 21 août 2020</w:t>
      </w:r>
    </w:p>
    <w:p>
      <w:r>
        <w:t>IT: VD_GERICHTE PE19.001536 del 21 agosto 2020</w:t>
      </w:r>
    </w:p>
    <w:p>
      <w:pPr>
        <w:pStyle w:val="Heading2"/>
      </w:pPr>
      <w:r>
        <w:t>Erwägungen</w:t>
      </w:r>
    </w:p>
    <w:p>
      <w:r>
        <w:rPr>
          <w:b/>
        </w:rPr>
        <w:t>E. 9.1</w:t>
      </w:r>
    </w:p>
    <w:p>
      <w:r>
        <w:t>L’appelant conteste la peine prononcée par les premiers juges. Il affirme que, compte tenu du fait qu’il a immédiatement assumé ses torts et que ses déclarations ont été invariables, il ne devrait pas être condamné à une peine privative de liberté de plus d’une année pour les infractions à la LArm et à la LStup, qu’il ne conteste pas. Si les autres infractions étaient retenues, il faudrait tenir compte des circonstances atténuantes de l’art. 48 let. a ch. 3, let c et d CP.</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- 40 - pénale (ATF 142 IV 137 consid. 9.1, JdT 2016 I 169 ; ATF 141 IV 61 consid. 6.1.1 et les réf. citées ; TF 6B_1463/2019 du 20 février 2020 consid. 2.1.1).</w:t>
      </w:r>
    </w:p>
    <w:p>
      <w:r>
        <w:rPr>
          <w:b/>
        </w:rPr>
        <w:t>E. 9.2.2</w:t>
      </w:r>
    </w:p>
    <w:p>
      <w:r>
        <w:t>Aux termes de l’art. 48 let. a ch. 3 CP, le juge atténue la peine si l’auteur a agi sous l’effet d’une menace grave. La menace grave au sens de l'art. 48 let. a ch. 3 CP concerne également une situation proche de l'état de nécessité, où l'auteur agit sous l'empire d'une force simplement contraignante, d'une menace ou d'une violence relativement irrésistible (vis compulsiva), comme la contrainte psychique (cf. ATF 104 IV 186 consid. 3b). Cette circonstance atténuante se conçoit notamment lorsque le danger qui pèse sur les biens juridiques menacés n'apparaît pas imminent ou lorsque l'auteur aurait pu détourner le danger par des moyens légaux (Wiprächtiger/Keller, in Niggli/Wiprächtiger, [édit.], Basler Kommentar, Strafrecht I, 4e éd., Bâle 2019, n. 16 ad art. 48 CP). Son champ d'application et sa portée ne se distinguent guère de la détresse profonde au sens de l'art. 48 let. a ch. 2 CP (Wiprächtiger/Keller, op. cit., n. 17 ad art. 48 CP ; Trechsel/Thommen, in Trechsel/Pieth [édit.], Schweizerisches Strafgesetzbuch, Praxiskommentar, 3e éd., Zurich 2018, n. 12 ad art. 48 CP). En tout état, cette circonstance atténuante suppose également une certaine proportionnalité entre les motifs qui poussent l'auteur à agir et l'importance du bien juridique qu'il lèse (TF 6B_719/2019 du 23 septembre 2019 consid. 2.1.1). Le juge atténue par ailleurs la peine si l’auteur a agi en proie à une émotion violente que les circonstances rendaient excusable ou s’il a agi dans un état de profond désarroi (art. 48 let. c CP).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(ATF 119 IV 202 consid. 2a, JdT 1995 IV 120, SJ 1994 24).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(ATF 107 IV 103 consid. 2b/bb, JdT 1982 IV 103). Ce n'est pas l'acte commis qui doit être excusable, mais</w:t>
      </w:r>
    </w:p>
    <w:p>
      <w:r>
        <w:t>- 41 - l'état dans lequel se trouvait l'auteur (ATF 119 IV 202 consid. 2a ; ATF 108 IV 99 consid. 3a, JdT 1983 IV 98). Il faut en outre qu'il existe une certaine proportionnalité entre la provocation, d'une part, et la réaction de l'auteur, d'autre part (TF 6B_840/2017 du 17 mai 2018 consid. 2 ; TF 6B_622/2008 du 13 janvier 2009 consid. 8.1 ; TF 6B_517/2008 du 27 août 2008 consid. 5.3.2). Le juge atténue également la peine si l'auteur a manifesté par des actes un repentir sincère, notamment s'il a réparé le dommage autant qu'on pouvait l'attendre de lui (art. 48 let. d CP).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 citées, JdT 1982 IV 136 ; TF 6B_422/2019 du 5 juin 2019 consid. 6.1 ;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non publié aux ATF 143 IV 469 ; TF 6B_289/2016 du 28 décembre 2016 consid. 3.2.1 ; TF 6B_874/2015 du 27 juin 2016 consid. 3.1). Celui qui ne consent à faire un effort particulier que sous la menace de la sanction à venir ne manifeste pas un repentir sincère, il s'inspire de considérations tactiques et ne mérite donc pas d'indulgence particulière (TF 6B_719/2019 du 23 septembre 2019 consid. 2.2 ; TF 6B_1276/2015 du 29 juin 2016 consid. 1.3.1 et les réf. citées).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JdT 1997 IV 108 ; TF 6B_554/2019 du 26 juin 2019 consid. 4.1 ; TF</w:t>
      </w:r>
    </w:p>
    <w:p>
      <w:r>
        <w:t>- 42 - 6B_265/2010 du 13 août 2010 consid. 1.1). La bonne collaboration à l'enquête peut, par ailleurs, même lorsqu'elle ne remplit pas les conditions d'un repentir sincère, constituer un élément favorable pour la fixation de la peine dans le cadre ordinaire de l'art. 47 CP (TF 6B_554/2019 du 26 juin 2019 consid. 4.1). La jurisprudence prévoit que le repentir sincère visé à l'art. 48 let. d CP suppose une prise de conscience du caractère répréhensible de l'infraction et un changement d'état d'esprit sincère du délinquant, qu'une bonne collaboration à l'enquête n'implique pas nécessairement (cf. TF 6B_291/2007 du 25 janvier 2008 consid. 3.2). En l'absence de réelle prise de conscience, les excuses et regrets ne sont pas assimilables à un repentir sincère (cf. art. 48 let. d CP ; TF 6B_1054/2019, déjà cité, consid. 1.4 ; TF 6B_584/2019 du 15 août 2019 consid. 2.3 ; TF 6B_1368/2016 du 15 novembre 2017 consid. 5.1 non publié aux ATF 143 IV 469).</w:t>
      </w:r>
    </w:p>
    <w:p>
      <w:r>
        <w:rPr>
          <w:b/>
        </w:rPr>
        <w:t>E. 9.2.3</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w:t>
      </w:r>
    </w:p>
    <w:p>
      <w:r>
        <w:t>- 43 -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9.3</w:t>
      </w:r>
    </w:p>
    <w:p>
      <w:r>
        <w:t>En l’espèce, la culpabilité de l’appelant est extrêmement lourde et sa responsabilité est pleine et entière. Il s’en est pris au bien juridiquement protégé le plus précieux pour des motifs futiles et égoïstes en lien avec son vice. L’homicide est intervenu dans le contexte de transactions de drogue et l’appelant s’est emporté pour un futile motif de qualité du produit stupéfiant. K.________ a menacé L.________ avec le couteau et a donné trois coups à E.________, faisant ainsi preuve d’une violence extrême. Le nombre de coups assénés dans des régions vitales établissent l’acharnement du prévenu (cf. jugement, p. 82). L’appelant a d’abord désarmé la victime qui tenait le couteau. Après être venu en aide à C.________, qui se battait avec la victime, on constate que l’appelant n’a pas quitté les lieux. Alors même qu’il avait rapidement désarmé E.________, l’appelant n’a pas quitté l’appartement. Il a au contraire poignardé sa victime, par un geste létal précis et foudroyant. A ce moment-là, C.________ tenait le marteau (cf. PV aud. 23, R. 9 et PV aud. 26, lignes 70 ss ; jugement, p. 72) et L.________ avait été maîtrisé. Il n’y avait dès lors pas de menace grave. On ne voit pas davantage en quoi l’appelant, qui avait désarmé son adversaire, aurait été en proie à une émotion violente. Il ne le motive d’ailleurs pas. Il a ainsi choisi en toute connaissance de cause tuer. Juste après les faits, l’appelant a fui l’appartement. Certes, il est par la suite retourné dans l’appartement pour délivrer son ami, ce qui démontre que, sur le moment, il a craint pour celui-ci. L’appelant n’est toutefois pas revenu sur place parce qu’il se préoccupait du sort de sa victime. A charge, il faut encore tenir compte du concours d’infractions et</w:t>
      </w:r>
    </w:p>
    <w:p>
      <w:r>
        <w:t>- 44 - du fait que le casier judiciaire de l’appelant présente une condamnation à quinze jours-amende avec sursis pour délit et contravention à la LStup. On ne voit guère d’élément à décharge. Le comportement neutre de l’appelant en détention est globalement bon. Il a toutefois récemment été sanctionné (P. 305). Si l’appelant a tout d’abord admis avoir été l’auteur du coup fatal, il a par la suite tout mis en œuvre pour nier sa responsabilité réelle. Le repentir sincère plaidé par l’appelant est ainsi exclu. L’infraction abstraitement la plus grave est celle de meurtre, qui doit être sanctionnée d’une peine privative de liberté de douze ans. Par l’effet du concours, cette peine sera augmentée de seize mois pour la rixe, de six mois pour les menaces et de deux mois encore pour l’infraction à la LArm. Une peine privative de liberté de quatorze ans est dès lors adéquate. Une amende de 100 fr. sanctionnera la contravention à la LStup.</w:t>
      </w:r>
    </w:p>
    <w:p>
      <w:r>
        <w:rPr>
          <w:b/>
        </w:rPr>
        <w:t>E. 10.1</w:t>
      </w:r>
    </w:p>
    <w:p>
      <w:r>
        <w:t>L’appelant conteste la révocation du sursis en lien avec la libération des infractions les plus graves.</w:t>
      </w:r>
    </w:p>
    <w:p>
      <w:r>
        <w:rPr>
          <w:b/>
        </w:rPr>
        <w:t>E. 10.2</w:t>
      </w:r>
    </w:p>
    <w:p>
      <w:r>
        <w:t>Aux termes de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w:t>
      </w:r>
    </w:p>
    <w:p>
      <w:r>
        <w:t>- 45 -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6B_1400/2017 du 26 mars 2018 consid. 2.2).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La révocation ne peut plus être ordonnée lorsque trois ans se sont écoulés depuis l’expiration du délai d’épreuve (art. 46 al. 5 CP).</w:t>
      </w:r>
    </w:p>
    <w:p>
      <w:r>
        <w:rPr>
          <w:b/>
        </w:rPr>
        <w:t>E. 10.3</w:t>
      </w:r>
    </w:p>
    <w:p>
      <w:r>
        <w:t>En l’espèce, l’appelant a lourdement récidivé durant le délai d’épreuve de deux ans qui lui avait été imparti le 16 août 2017. Le sursis octroyé à cette occasion l’avait été pour des infractions en matière de</w:t>
      </w:r>
    </w:p>
    <w:p>
      <w:r>
        <w:t>- 46 - stupéfiants. Le prévenu a persisté dans sa consommation, laquelle est en lien avec les événements du 23 janvier 2019, puisqu’ils se sont déroulés alors que l’appelant s’était rendu chez son dealer – chez qui il s’était déjà rendu la veille – pour y acheter de la cocaïne. Il n’y a pas de prise de conscience. Le pronostic est entièrement défavorable. Il apparaît ainsi nécessaire que le prévenu exécute aussi bien la peine antérieurement prononcée avec sursis que celle faisant l’objet de la présente procédure. Cette dernière peine n’apparaît en effet pas, même si elle est conséquente, suffisante pour assurer son amendement à cet égard. Pour le surplus, le délai de l’art. 46 al. 5 CP n’est pas encore échu.</w:t>
      </w:r>
    </w:p>
    <w:p>
      <w:r>
        <w:rPr>
          <w:b/>
        </w:rPr>
        <w:t>E. 11.1</w:t>
      </w:r>
    </w:p>
    <w:p>
      <w:r>
        <w:t>L’appelant conteste la mesure d’expulsion prononcée.</w:t>
      </w:r>
    </w:p>
    <w:p>
      <w:r>
        <w:rPr>
          <w:b/>
        </w:rPr>
        <w:t>E. 11.2.1</w:t>
      </w:r>
    </w:p>
    <w:p>
      <w:r>
        <w:t>Selon l’art. 66a al. 1 let. a CP, le juge expulse de Suisse l'étranger qui est condamné pour meurtre.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11.2.2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w:t>
      </w:r>
    </w:p>
    <w:p>
      <w:r>
        <w:t>- 47 - 144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0.1011) (TF 6B_1417/2019, déjà 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w:t>
      </w:r>
    </w:p>
    <w:p>
      <w:r>
        <w:t>- 48 - parmi d'autres et en n'accordant qu'un faible poids aux années passées en Suisse dans l'illégalité, en prison ou au bénéfice d'une simple tolérance (TF 6B_255/2020 du 6 mai 2020 consid. 1.2.2 ; cf. ATF 134 II 10 consid. 4.3 ; plus récemment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RDAF 2014 I 447). Les relations familiales visées par l'art. 8 § 1 CEDH sont avant tout celles qui concernent la famille dite nucléaire, soit celles qui existent entre époux ainsi qu'entre parents et enfants mineurs vivant en ménage commun (TF 6B_286/2020 du 1er juillet 2020 consid. 1.3.2 ; cf. ATF 144 II 1 consid. 6.1 ; ATF 135 I 143 consid. 1.3.2, RDAF 2010 I 344). La présence d’enfants mineurs en Suisse ne justifie pas de renoncer à l’expulsion, en particulier si les contacts avec ceux-ci sont très limités (Grodecki/Stoudmann, La jurisprudence fédérale et lémanique en matière d’expulsion judiciaire, JdT 2019 III 39, spéc. p. 62 et les réf. citées). Lorsque l’intégration est mauvaise, une longue durée de séjour et la présence en Suisse de famille proche n’impliquent pas qu’il faille retenir un cas de rigueur, même si les liens avec le pays d’origine sont ténus voire inexistants (Grodecki/Stoudmann, op.cit., spéc. p. 63 et les réf. citées).</w:t>
      </w:r>
    </w:p>
    <w:p>
      <w:r>
        <w:rPr>
          <w:b/>
        </w:rPr>
        <w:t>E. 11.2.3</w:t>
      </w:r>
    </w:p>
    <w:p>
      <w:r>
        <w:t>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w:t>
      </w:r>
    </w:p>
    <w:p>
      <w:r>
        <w:t>- 49 - L'expulsion judiciaire, in Dupont/Kuhn [édit.], Droit pénal – Evolutions en 2018, Neuchâtel 2017, p. 149).</w:t>
      </w:r>
    </w:p>
    <w:p>
      <w:r>
        <w:rPr>
          <w:b/>
        </w:rPr>
        <w:t>E. 11.3</w:t>
      </w:r>
    </w:p>
    <w:p>
      <w:r>
        <w:t>En l’espèce, l’appelant a vécu en Suisse à compter de l’année 2017, de sorte que son séjour ne saurait être considéré comme long. Avant de s’installer en Suisse, il a habitait en Belgique, pays duquel il est ressortissant et dans lequel il a suivi sa scolarité et plusieurs formations. Certes, l’appelant a eu une fille, née le [...] 2019 alors qu’il était en détention, et il entretient une relation avec la mère de celle-ci. Ces seuls éléments ne permettent pas de considérer que le prévenu aurait un lien socio-professionnel avec la Suisse qui serait plus important que l’intérêt public à l’expulsion d’un meurtrier. Le prévenu a en effet toute sa famille et ses attaches en Belgique et rien n’interdit qu’il jouisse de relations personnelles avec son enfant dans son pays. La mesure d’expulsion prononcée par les premiers juges pour une durée de douze ans, soit une durée adéquate au vu des circonstances et des infractions retenues, doit ainsi être confirmée.</w:t>
      </w:r>
    </w:p>
    <w:p>
      <w:r>
        <w:rPr>
          <w:b/>
        </w:rPr>
        <w:t>E. 12.1</w:t>
      </w:r>
    </w:p>
    <w:p>
      <w:r>
        <w:t>L’appelant conteste l’indemnité pour tort moral allouée à la famille de la victime E.________.</w:t>
      </w:r>
    </w:p>
    <w:p>
      <w:r>
        <w:rPr>
          <w:b/>
        </w:rPr>
        <w:t>E. 12.2</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du 30 mars 1911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w:t>
      </w:r>
    </w:p>
    <w:p>
      <w:r>
        <w:t>- 50 -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w:t>
      </w:r>
    </w:p>
    <w:p>
      <w:r>
        <w:rPr>
          <w:b/>
        </w:rPr>
        <w:t>E. 12.3</w:t>
      </w:r>
    </w:p>
    <w:p>
      <w:r>
        <w:t>Dans la mesure où les conclusions en suppression du tort moral sont en lien avec l’appréciation selon laquelle l’appelant ne serait pas l’auteur de l’homicide, il n’y a pas lieu de revoir l’indemnité arrêtée par les premiers juges. Cette indemnité est quoi qu’il en soit adéquate au vu des circonstances du cas d’espèce.</w:t>
      </w:r>
    </w:p>
    <w:p>
      <w:r>
        <w:rPr>
          <w:b/>
        </w:rPr>
        <w:t>E. 13.1</w:t>
      </w:r>
    </w:p>
    <w:p>
      <w:r>
        <w:t>L’appelant requiert qu’une indemnité lui soit versée du fait de la durée de la détention provisoire subie, qui dépasserait celle de la peine finalement prononcée. Il requiert également le versement d’une indemnité pour le dommage économique subi du fait de sa participation à la procédure pénale. Il demande encore que sa peine soit réduite en raison des cent septante-cinq jours de détention subis dans des conditions de détention illicites du 12 février au 5 août 2019.</w:t>
      </w:r>
    </w:p>
    <w:p>
      <w:r>
        <w:rPr>
          <w:b/>
        </w:rPr>
        <w:t>E. 13.2.1</w:t>
      </w:r>
    </w:p>
    <w:p>
      <w:r>
        <w:t>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w:t>
      </w:r>
    </w:p>
    <w:p>
      <w:r>
        <w:t>- 51 - n'est pas la détention en soi, mais seulement la durée de celle-ci qui est injustifiée. La détention ne sera qualifiée d'excessive qu'après le prononcé du jugement (ATF 141 IV 236 consid. 3.2, JdT 2016 IV 104 ; TF 6B_343/2015 du 2 février 2016 consid. 1.2.4 et les réf. doctrinales citées).</w:t>
      </w:r>
    </w:p>
    <w:p>
      <w:r>
        <w:rPr>
          <w:b/>
        </w:rPr>
        <w:t>E. 13.2.2</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w:t>
      </w:r>
    </w:p>
    <w:p>
      <w:r>
        <w:rPr>
          <w:b/>
        </w:rPr>
        <w:t>E. 13.2.3</w:t>
      </w:r>
    </w:p>
    <w:p>
      <w:r>
        <w:t>Pour ce qui est de la détention dans des conditions illicites, le Tribunal fédéral considère que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consid. 6.5.1 ; TF 6B_1395/2016 du 27 octobre 2017 consid. 1.1 et les réf.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déjà cité, consid. 7.2 et 7.3 et les réf. citées ; TF 6B_1243/2016 du 13 décembre 2016 consid. 2.4).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w:t>
      </w:r>
    </w:p>
    <w:p>
      <w:r>
        <w:t>- 52 -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 3.3 ; CAPE 16 juin 2020/205 consid. 6.2 ; CAPE 28 mars 2019/92 consid. 5.2 et les réf. citées, notamment CAPE 18 août 2016/357 consid. 4.2 ; CAPE 18 novembre 2013 consid. 4.2).</w:t>
      </w:r>
    </w:p>
    <w:p>
      <w:r>
        <w:rPr>
          <w:b/>
        </w:rPr>
        <w:t>E. 13.3</w:t>
      </w:r>
    </w:p>
    <w:p>
      <w:r>
        <w:t>En l’espèce, la peine finalement prononcée est largement supérieure à celle de la détention subie jusqu’à présent (cf. supra consid.</w:t>
      </w:r>
    </w:p>
    <w:p>
      <w:r>
        <w:t>- 53 - 9.3). La condamnation de l’appelant exclut par ailleurs le prononcé d’une indemnité au sens de l’art. 429 CPP. S’agissant des conditions de détention, les premiers juges ont réduit la peine privative de liberté de l’appelant de cinquante-deux jours, soit de huit jours pour la détention subie dans des conditions de détention illicites en zone carcérale et de quarante-quatre jours pour la détention subie dans des conditions illicites à la prison du Bois-Mermet. Le Tribunal des mesures de contrainte a constaté, dans son ordonnance du 15 avril 2020, que l’appelant avait subi seize jours de détention dans des conditions de détention illicites en zone carcérale et cent-septante cinq jours à la prison du Bois-Mermet. Le Tribunal des mesures de contrainte a ainsi constaté que, après réduction des espaces sanitaires, l’espace individuel était de 3,66 m2 pour la cellule no 332, occupée du 12 février au 13 juin 2019, et de 3,95 m2 pour la cellule no 344, occupée du 13 juin au 5 août 2019. Le Tribunal des mesures de contrainte a précisé que, dans ces cellules, les toilettes n’étaient séparées que par un rideau ignifuge et que les conditions d’isolation, de chauffage et d’aération généraient des températures intérieures trop basses en hiver et trop élevées en été. Dans la mesure où l’espace individuel était compris entre 3 m2 et 4 m2 et que plusieurs circonstances aggravantes étaient réalisées, il se justifiait d’opérer une réduction d’un quart pour les cent septante-cinq jours de détention subis dans des conditions illicites à la prison du Bois- Mermet, soit une réduction de quarante-quatre jours. Au vu de la jurisprudence rappelée ci-avant, il ne se justifie pas d’opérer une réduction plus importante. Il n’y a dès lors pas lieu de revenir sur la réduction opérée par les premiers juges dans le sens requis par l’appelant.</w:t>
      </w:r>
    </w:p>
    <w:p>
      <w:r>
        <w:rPr>
          <w:b/>
        </w:rPr>
        <w:t>E. 14</w:t>
      </w:r>
    </w:p>
    <w:p>
      <w:r>
        <w:t>- 54 -</w:t>
      </w:r>
    </w:p>
    <w:p>
      <w:r>
        <w:rPr>
          <w:b/>
        </w:rPr>
        <w:t>E. 14.1</w:t>
      </w:r>
    </w:p>
    <w:p>
      <w:r>
        <w:t>Conformément à l’art. 51 CP, la détention subie par l’appelant depuis le jugement de première instance doit être déduite de la peine prononcée.</w:t>
      </w:r>
    </w:p>
    <w:p>
      <w:r>
        <w:rPr>
          <w:b/>
        </w:rPr>
        <w:t>E. 14.2</w:t>
      </w:r>
    </w:p>
    <w:p>
      <w:r>
        <w:t>Au vu du risque de fuite présenté par l’appelant, il se justifie, afin de garantir l’exécution de la peine infligée ainsi que de la mesure d’expulsion du territoire suisse dont il fait l’objet, d’ordonner son maintien en exécution anticipée de peine.</w:t>
      </w:r>
    </w:p>
    <w:p>
      <w:r>
        <w:rPr>
          <w:b/>
        </w:rPr>
        <w:t>E. 15.1</w:t>
      </w:r>
    </w:p>
    <w:p>
      <w:r>
        <w:t>En définitive, l’appel doit être rejeté et le jugement entrepris confirmé.</w:t>
      </w:r>
    </w:p>
    <w:p>
      <w:r>
        <w:rPr>
          <w:b/>
        </w:rPr>
        <w:t>E. 15.2</w:t>
      </w:r>
    </w:p>
    <w:p>
      <w:r>
        <w:t>Selon l'art. 135 al. 1 CPP, le défenseur, respectivement conseil, d’office est indemnisé conformément au tarif des avocats de la Confédération ou du canton du for du procès. Dans le Canton de Vaud, le tarif horaire de l’avocat d’office breveté est fixé à 180 fr., respectivement à 110 fr. s’agissant de l’avocat-stagiaire,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n’y a pas lieu de s’écarter de la liste des opérations produite par Me Nicolas Roud, si ce n’est pour tenir compte de la durée effective de l’audience et des débours de 2 % – et non 5 %. Il s’ensuit que l’indemnité de Me Nicolas Roud peut être arrêtée à 6'960 fr. (38 h 40 x 180 fr.), montant auquel s’ajoutent 480 fr. pour quatre forfaits de vacation (art. 3bis al. 3 RAJ), les débours forfaitaires de 139 fr. 20 (6'960 fr. x 2 %) et la TVA de 7.7 % sur le tout, par 583 fr. 60, ce qui donne un total de 8'162 fr. 80.</w:t>
      </w:r>
    </w:p>
    <w:p>
      <w:r>
        <w:t>- 55 - Quant à l’indemnité de Me Simon Ntah, les opérations annoncées sur la note d’honoraires sont excessives. Le dossier ayant été traité par l’avocate-stagiaire, on ne tiendra pas compte des opérations effectuées par un collaborateur, si ce n’est 1 heure de travail de contrôle et de relecture. Quant aux opérations effectuées par la stagiaire, on admettra 10 heures de préparation et 2 heures d’audience, soit 12 heures en tout. L’indemnité peut être arrêtée à 1'500 fr. ([180 fr. x 1 h] + 110 fr. x 12 h), montant auquel s’ajoutent 80 fr. pour un forfait de vacation (art. 3bis al. 3 RAJ), les débours forfaitaires de 30 fr. (1'500 fr. x 2 %) et la TVA de 7.7 % sur le tout, par 123 fr. 95, ce qui donne un total de 1'733 fr. 95.</w:t>
      </w:r>
    </w:p>
    <w:p>
      <w:r>
        <w:rPr>
          <w:b/>
        </w:rPr>
        <w:t>E. 15.3</w:t>
      </w:r>
    </w:p>
    <w:p>
      <w:r>
        <w:t>Les frais d’appel seront arrêtés à 15'216 fr. 75, soit 5'320 fr. pour l’émolument d’audience et de jugement (art. 21 al. 1 et 2 TFIP) et 9'896 fr. 75 (8'162 fr. 80 + 1'733 fr. 95) pour les indemnités aux conseil et défenseur d’office. Ils seront mis à la charge de l’appelant, qui succombe (art. 428 al. 1 CPP).</w:t>
      </w:r>
    </w:p>
    <w:p>
      <w:r>
        <w:rPr>
          <w:b/>
        </w:rPr>
        <w:t>E. 15.4</w:t>
      </w:r>
    </w:p>
    <w:p>
      <w:r>
        <w:t>L’appelant ne sera tenu de rembourser à l'Etat les indemnités allouées au conseil et défenseur d’office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