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PE19.000742 vom 6. Dezember 2021</w:t>
      </w:r>
    </w:p>
    <w:p>
      <w:r>
        <w:t>VD Tribunal cantonal, 2021-12-06, FR</w:t>
      </w:r>
    </w:p>
    <w:p>
      <w:r>
        <w:rPr>
          <w:b/>
        </w:rPr>
        <w:t xml:space="preserve">Quelle: </w:t>
      </w:r>
      <w:r>
        <w:t>https://mcp.opencaselaw.ch/entscheid/vd_gerichte_PE19.000742</w:t>
      </w:r>
    </w:p>
    <w:p>
      <w:r>
        <w:t>FR: VD_GERICHTE PE19.000742 du 6 décembre 2021</w:t>
      </w:r>
    </w:p>
    <w:p>
      <w:r>
        <w:t>IT: VD_GERICHTE PE19.000742 del 6 dicembre 2021</w:t>
      </w:r>
    </w:p>
    <w:p>
      <w:pPr>
        <w:pStyle w:val="Heading2"/>
      </w:pPr>
      <w:r>
        <w:t>Erwägungen</w:t>
      </w:r>
    </w:p>
    <w:p>
      <w:r>
        <w:rPr>
          <w:b/>
        </w:rPr>
        <w:t>E. 20</w:t>
      </w:r>
    </w:p>
    <w:p>
      <w:r>
        <w:t>à 30 personnes environ, dont les prévenus, a pénétré dans le hall d’entrée dans le but de manifester contre le changement climatique et plus spécifiquement contre les investissements faits par S.________ dans les énergies fossiles. Le but des manifestants était d’attirer l’attention de l’opinion publique sur ces questions, notamment en dénonçant la participation du joueur de tennis M.________ à l’image publicitaire de cette banque. Cette manifestation a consisté notamment à déployer une banderole sur laquelle figurait le texte suivant : « S.________ détruit le climat. M.________, tu cautionnes ça ? #SiM.________savait » et, pour l’essentiel, à mimer une partie de tennis, la plupart des participants étant déguisés en sportifs de manière caricaturale. Selon une employée responsable d’un service de cette succursale bancaire, les manifestants, qui ne se sont pas montrés agressifs, se sont placés notamment sur les marches des escaliers, ainsi que sur la rampe d’accès pour les personnes handicapées. S’ils n’empêchaient pas les clients de passer, ces derniers devaient toutefois les enjamber pour accéder aux guichets. La manifestation n’avait pas fait l’objet d’une demande d’autorisation auprès</w:t>
      </w:r>
    </w:p>
    <w:p>
      <w:r>
        <w:t>- 26 - de l’instance administrative compétente, soit la Direction de la sécurité et de l’économie de la ville de Lausanne. Malgré l’injonction qui avait été faite à l’ensemble du groupe par le responsable de la succursale, R.________, de quitter les lieux, les manifestants sont restés dans le hall et ont poursuivi leur activité. Le prénommé a indiqué que personne n’avait été agressif et que l’ambiance était restée « bon enfant ». Il a appelé la police, laquelle est intervenue peu de temps après, en envoyant dans un premier temps un agent, puis plusieurs. A 13 h 50, l’officier de police responsable a sommé une première fois les manifestants d’évacuer les lieux en leur impartissant un délai de 15 minutes. Dans ce laps de temps, dix personnes environ sont sorties d’elles-mêmes, dont T.________ et C.________. Ces deux prévenues assuraient le rôle, convenu à l’avance, de veiller au bon et paisible déroulement de la manifestation, ainsi que de gérer les discussions avec les forces de police intervenantes. C’est en raison de ce rôle que ces deux prévenues se sont conformées aux instructions policières. En revanche, G.________, W.________, L.________, H.________, Q.________, F.________, B.________, D.________, P.________ et E.________ n’ont pas obtempéré aux ordres, mais se sont au contraire assis par terre et tenus les uns aux autres avec leurs jambes et leurs bras, obligeant finalement la police, vers 14 h 05, à les sortir des locaux de l’établissement un par un en les traînant au sol ou en les portant. Tout est rentré dans l’ordre vers 14 h 20. L'avocat Thomas Brändli a déposé plainte au nom de S.________ le 28 décembre 2018. Me Brändli était au bénéfice d'une procuration signée le 21 décembre 2018 par MM. [...] et [...], lesquels s'étaient eux-mêmes vu accorder un pouvoir de signature collective à deux par la Direction Générale de la banque le 19 avril 2018. En d roit :</w:t>
      </w:r>
    </w:p>
    <w:p>
      <w:r>
        <w:t>- 27 - 1.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2.1 Le Tribunal fédéral a confirmé la condamnation des prévenus pour violation de domicile et contravention à l’art. 41 RGP/Lausanne. Il a en revanche considéré que les prévenus ne pouvaient pas être condamnés pour empêchement d’accomplir un acte officiel (art. 286 CP) et a renvoyé la cause à l’autorité cantonale afin qu'elle examine si l’art. 29 RGP/Lausanne pouvait être retenu (ATF 147 IV 297 consid. 5.2) 2.2 Aux termes de l’art. 29 RGP/Lausanne celui qui, d'une quelconque manière, entrave l'action d'un fonctionnaire, notamment d'un agent de police, ou celui qui refuse de se conformer aux ordres d'un agent de police, encourt les peines prévues par la loi sur les contraventions, sans préjudice des sanctions prévues par le Code pénal. Le Tribunal fédéral a rappelé que ce n’était pas parce que l'art. 286 CP ne pouvait pas s'appliquer en l'occurrence pour des motifs procéduraux, que la contravention cantonale de l’art. 29 RGP/Lausanne pouvait, pour autant, automatiquement réprimer le comportement reproché aux prévenus. En effet, l'entrave à la police ne pouvait être réprimée par une norme cantonale que si cette entrave n’avait pas atteint</w:t>
      </w:r>
    </w:p>
    <w:p>
      <w:r>
        <w:t>- 28 - l'intensité requise par l'art. 286 CP (ATF 147 IV 297 consid. 5.2 ; TF 6B_602/2009 du 29 septembre 2009 consid. 4.2). En l’occurrence, dans son jugement du 22 septembre 2020 (consid. 5.2.3), la Cour d’appel pénale a retenu qu’à l’exception de T.________ et C.________, les prévenus avaient refusé de quitter les lieux et opposé une résistance physique qui avait singulièrement compliqué la mission d'évacuation de la police, de sorte que l'entrave à l'action de la police avait atteint l’intensité requise par l’art. 286 CP. Puisque cette disposition n’est pas applicable selon le Tribunal fédéral et que l’art. 29 RGP/Lausanne ne peut être appliqué que si l'entrave à la police n’a pas atteint l'intensité requise par l'art. 286 CP, G.________, W.________, L.________, H.________, Q.________, Z.________, F.________, B.________, D.________ et P.________ doivent être libérés tant du chef d’accusation d’empêchement d’accomplir un acte officiel que de celui de contravention à l’art. 29 RGP/Lausanne. 3. 3.1 Il y a lieu de fixer à nouveau les peines, étant rappelé que le Tribunal fédéral a exclu l’application de l’art. 52 CP (ATF 147 IV 297 consid. 7). Le Ministère public considère qu’G.________, W.________, L.________, H.________, Q.________, Z.________, F.________, B.________, D.________ et P.________ ne peuvent pas prétendre à une réduction de peine comme en ont bénéficié T.________ et C.________ qui ont quitté les lieux lorsque la police est intervenue. Dans la mesure où ils n’ont pas obtempéré aux injonctions de la police, l’intensité de leur volonté délictueuse serait plus élevée que celles de leurs deux coprévenues et justifierait le prononcé de sanctions plus sévères. Pour leur part, les prévenus invoquent l’art. 48 let. a ch. 1 CP. En substance, ils soutiennent qu’il n’y aurait pas lieu d’opérer de distinction entre eux et les prévenues précitées, dès lors que leur action avait été concertée et que leurs rôles respectifs avaient été préalablement</w:t>
      </w:r>
    </w:p>
    <w:p>
      <w:r>
        <w:t>- 29 - attribués. Ils soutiennent également qu’une sanction pénale ne serait pas nécessaire et violerait leurs droits fondamentaux. Leur liberté de réunion et d’expression – qui s’appliquerait sans considération de lieu contrairement à ce qu’a considéré le Tribunal fédéral dans son arrêt du 26 mai 2021 – serait un droit supérieur à la garantie de la propriété de la partie plaignante qui devrait tolérer une atteinte légère à celle-ci. Enfin, les prévenus rappellent que leur action a été pacifique et maintiennent qu’elle était bien-fondée et proportionnée. 3.2 3.2.1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 3.2.2 Aux termes de l'art. 49 al. 1 CP, si, en raison d'un ou de plusieurs actes, l'auteur remplit les conditions de plusieurs peines de</w:t>
      </w:r>
    </w:p>
    <w:p>
      <w:r>
        <w:t>- 30 -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3.2.3 Conformément à l'art. 48 let. a ch. 1 CP, le juge atténue la peine si l'auteur a agi en cédant à un mobile honorable. Le caractère honorable des mobiles s'apprécie d'après l'échelle des valeurs éthiques reconnues par la collectivité dans son ensemble (ATF 128 IV 53 consid. 3a et la référence citée). Pour être qualifié d'honorable, il ne suffit pas que le mobile ne soit pas critiquable sur le plan moral, il faut encore qu'il se situe dans la partie supérieure des valeurs éthiques. Le mobile politique n'est pas en soi un mobile honorable ; il peut l'être, mais il peut aussi être éthiquement neutre ou condamnable.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ou la perversité particulière. Dans ce cas, le juge peut alors se borner à tenir compte du mobile honorable dans le cadre de l'art. 47 CP, sans appliquer l'art. 48 CP (ATF 128 IV 53</w:t>
      </w:r>
    </w:p>
    <w:p>
      <w:r>
        <w:t>- 31 - consid. 3a et les références citées ; TF 6B_713/2018 du 21 novembre 2018 consid. 5.4). Lorsque le mobile honorable est sans aucun rapport avec l’infraction, il ne se justifie pas d’atténuer la peine (ATF 118 IV 74 consid. 2a, JdT 1994 IV 89 ; ATF 115 IV 65 consid. 2b, JdT 1990 IV 69). 3.3 Dans son jugement du 22 septembre 2020, la Cour d’appel pénale a retenu que les prévenus avaient agi dans le but de préserver le monde et ses habitants des conséquences délétères liées au réchauffement climatique et qu’ils l’avaient fait sur un mode humoristique et sans la moindre violence. S’agissant de T.________ et C.________, on pouvait encore admettre qu'elles avaient agi en cédant à un mobile honorable permettant une diminution de leur peine, dès lors qu'elles avaient quitté la banque à la première requête de la police. En revanche, la Cour a refusé d’appliquer aux autres prévenus l’art. 48 let. a ch. 1 CP en retenant, d’une part, que leur culpabilité était plus importante compte tenu de leur comportement oppositionnel aux forces de l'ordre et, d’autre part, que ce comportement n’avait plus de rapport suffisant avec leur mobile. La Cour a ainsi retenu que la violation de domicile commise par T.________ et C.________ aurait dû être sanctionnée par une peine pécuniaire de 15 jours-amende. Pour tenir compte de l’art. 48 let. a ch. 1 CP, elle a réduit cette peine à 10 jours-amende. De même, elle a réduit l’amende devant sanctionner la contravention à l’art. 41 RGP/Lausanne à 100 francs. Dans la mesure où G.________, W.________, L.________, H.________, Q.________, Z.________, F.________, B.________, D.________ et P.________ doivent finalement être libérés des chefs d’accusation d’empêchement d’accomplir un acte officiel (art. 286 CP) et de contravention à l’art. 29 RGP/Lausanne, il convient de les faire bénéficier, comme pour T.________ et C.________, de l’art. 48 let. a ch. 1 CP. Il faut en effet retenir que les prévenus ont agi de manière concertée et que chacun</w:t>
      </w:r>
    </w:p>
    <w:p>
      <w:r>
        <w:t>- 32 - assumait un rôle préalablement défini, la mission de T.________ et C.________ étant celle de « peacekeeper ». Les prévenus ont ainsi tous agi avec la même volonté délictueuse et il n’y a pas lieu d’opérer de distinction. Par conséquent, G.________, W.________, L.________, H.________, Q.________, Z.________, F.________, B.________, D.________ et P.________ seront condamnés, comme T.________ et C.________, à une peine de 10 jours- amende à 20 fr. le jour, ainsi qu’à une amende de 100 fr., convertible en une peine privative de liberté de 2 jours. Les modifications intervenues dans leurs situations personnelles respectives depuis le jugement du</w:t>
      </w:r>
    </w:p>
    <w:p>
      <w:r>
        <w:rPr>
          <w:b/>
        </w:rPr>
        <w:t>E. 22</w:t>
      </w:r>
    </w:p>
    <w:p>
      <w:r>
        <w:t>septembre 2020 ne conduisent pas à modifier le montant du jour- amende, qui n’a au demeurant pas été contesté en tant que tel par les intéressés devant le Tribunal fédéral. 4. En conclusion, l’appel du Ministère public doit être partiellement admis et le jugement entrepris réformé dans le sens des considérants qui précèdent. Il n’y a pas lieu de modifier la répartition des frais d’appel antérieurs à l’arrêt du Tribunal fédéral du 26 mai 2021 et qui ont été arrêtés à 5'760 fr. par la Cour d’appel pénale dans son jugement du 22 septembre 2020. Certes, les prévenus sont désormais acquittés de deux chefs d’accusation. Force est toutefois de constater qu’ils ont provoqué, de manière illicite et fautive, l’ouverture de la procédure à leur encontre, de sorte que les conditions de l’art. 426 al. 2 CPP permettant de leur faire supporter les frais de celle-ci sont réalisées. Les frais du présent jugement rendu à la suite de l’arrêt de renvoi du Tribunal fédéral, par 2’460 fr. (art. 21 al. 1 TFIP), seront en revanche laissés à la charge de l'Etat (art. 428 al. 4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