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PE19.000537 vom 9. Januar 2020</w:t>
      </w:r>
    </w:p>
    <w:p>
      <w:r>
        <w:t>VD Tribunal cantonal, 2020-01-09, FR</w:t>
      </w:r>
    </w:p>
    <w:p>
      <w:r>
        <w:rPr>
          <w:b/>
        </w:rPr>
        <w:t xml:space="preserve">Quelle: </w:t>
      </w:r>
      <w:r>
        <w:t>https://mcp.opencaselaw.ch/entscheid/vd_gerichte_PE19.000537</w:t>
      </w:r>
    </w:p>
    <w:p>
      <w:r>
        <w:t>FR: VD_GERICHTE PE19.000537 du 9 janvier 2020</w:t>
      </w:r>
    </w:p>
    <w:p>
      <w:r>
        <w:t>IT: VD_GERICHTE PE19.000537 del 9 gennaio 2020</w:t>
      </w:r>
    </w:p>
    <w:p>
      <w:pPr>
        <w:pStyle w:val="Heading2"/>
      </w:pPr>
      <w:r>
        <w:t>Erwägungen</w:t>
      </w:r>
    </w:p>
    <w:p>
      <w:r>
        <w:rPr>
          <w:b/>
        </w:rPr>
        <w:t>E. 19</w:t>
      </w:r>
    </w:p>
    <w:p>
      <w:r>
        <w:t>mai 2009; BLV 312.01]), dans la mesure où celle-ci est dirigée contre un membre du ministère public. 2. 2.1 Le requérant fait valoir que le procureur ferait preuve d’ « acharnement » à son égard, notamment en lui ayant refusé la désignation d’un défenseur d’office alors même que la Chambre des recours pénale avait, par son arrêt du 3 décembre 2019, annulé l’ordonnance pénale rendue par le même magistrat le 21 février 2019.</w:t>
      </w:r>
    </w:p>
    <w:p>
      <w:r>
        <w:t>- 4 - 2.2 L'art. 56 let. a à e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RS 101) et 6 par. 1 CEDH (Convention de sauvegarde des droits de l’homme et des libertés fondamentales du 4 novembre 1950;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3.2.1, JdT 2016 IV 247; ATF 138 IV 142 consid. 2.1).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et les réf. citées; ATF 141 IV 178 consid. 3.2.3). En effet, la fonction judiciaire oblige à se déterminer rapidement sur des éléments souvent contestés et délicats. Il appartient en outre aux juridictions de recours normalement compétentes de constater et de redresser les erreurs éventuellement</w:t>
      </w:r>
    </w:p>
    <w:p>
      <w:r>
        <w:t>- 5 - commises dans ce cadre. En particulier, n'emportent pas prévention une décision défavorable à une partie (TF 1B_365/2009 du 22 mars 2010 consid. 3.3) ou un refus d'administrer une preuve (ATF 116 Ia 135). 2.3 Le moyen du requérant déduit du refus de désignation d’un défenseur d’office selon l’ordonnance du 23 décembre 2019 est peu motivé et inadéquat. En effet, la voie de droit permettant de contester un tel refus est celle du recours, que l’intéressé a par ailleurs utilisée en parallèle à sa requête de récusation. Pour le reste, l’annulation de l’ordonnance pénale du 21 février 2019 procède de motifs purement formels, comme le requérant aurait pu s’en convaincre par une lecture un tant soit peu attentive de l’arrêt du 3 décembre 2019 de la Chambre des recours pénale (consid. II). Un unique acte de procédure erroné, relatif à la notification d’une décision, ne saurait évidemment donner une apparence de prévention. En tout cas, on ne saurait retenir des erreurs particulièrement lourdes ou répétées, constitutives de violations graves des devoirs du magistrat. Partant, il n’y a pas de motif de récusation au sens de l’art. 56 let. f CPP. 3. Il résulte de ce qui précède que la demande de récusation, manifestement mal fondée, doit être rejetée sans autre échange d'écritures (art. 390 al. 2 CPP). II. Recours 1. Interjeté dans les formes et délais légaux (art. 385 al. 1 et 396 al. 1 CPP) par une partie ayant qualité pour recourir (art. 382 al. 1 CPP) contre un prononcé ou un acte de procédure visé par l’art. 393 al. 1 let. a CPP, le recours est recevable. 2. Outre des moyens relevant de la récusation, le recourant soutient avoir « le dos au mur » (sic) en raison de nombreuses autres condamnations dont il a fait l’objet. 2.1</w:t>
      </w:r>
    </w:p>
    <w:p>
      <w:r>
        <w:t>- 6 - 2.1.1 Aux termes de l'art. 130 CPP, le prévenu doit avoir un défenseur notamment dans les cas où la détention provisoire, y compris la durée de l’arrestation provisoire, a excédé dix jours (let. a) ou dans les cas où il encourt une peine privative de liberté de plus d'un an, une mesure entraînant une privation de liberté ou une expulsion (let. b). La peine que le prévenu « encourt » (cf. art. 130 let. b CPP), ou celle dont il est « passible »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(CREP 10 août 2018/604 consid. 2.2.1 et les références citées). 2.1.2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w:t>
      </w:r>
    </w:p>
    <w:p>
      <w:r>
        <w:t>- 7 -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143 I 164 consid. 3.5 et les références citées; TF 1B_210/2019 du 29 juillet 2019 consid. 2.1). En revanche, dans les « cas bagatelle » – soit, selon le Tribunal fédéral, ceux dans lesquels il ne risque qu'une peine de courte durée ou une amende –, le prévenu n'a pas, même s'il est indigent, de droit constitutionnel à la désignation d'un défenseur d'office gratuit (ATF 143 I 164 consid. 3.5). 2.2 En l'espèce, le recourant ne se trouve pas dans un cas de défense obligatoire. Au surplus, la cause ne présente aucune difficulté en fait. En effet, les actes incriminés sont strictement circonscrits; le recourant ne les conteste pas en l’état. Le chef de prévention de vol porte sur des bouteilles d’alcool d’une valeur totale de 384 fr. 60; les quantités de stupéfiants sont minimes; le séjour illicite ne prête guère à discussion. Les faits sont donc simples. Le prévenu est à même de s'expliquer de manière circonstanciée sur ceux-ci, dès lors qu’il a démontré, notamment dans les présentes procédures, qu’il était en mesure de faire valoir ses droits par écrit. La cause ne présente pas davantage de difficulté en droit, que ce soit en matière procédurale ou s'agissant du fond. En particulier, la qualification pénale des actes incriminés ne fait guère faire de doute en l’état. Au surplus, le fait que le prévenu soit détenu en raison d’une autre procédure ne commande pas une appréciation différente quant à savoir si l’assistance d’un défenseur est justifiée pour sauvegarder ses intérêts. Il en va de même de ses antécédents, même si ceux-ci sont nombreux, puisqu’il s’agit toujours peu ou prou des mêmes infractions. L’ordonnance pénale du 21 février 2019 prononçait une peine privative de liberté de 60 jours, ainsi qu’une amende de 200 francs.</w:t>
      </w:r>
    </w:p>
    <w:p>
      <w:r>
        <w:t>- 8 - Malgré les antécédents du prévenu, rien ne permet de considérer que la nouvelle appréciation du Procureur conduirait, en reprise de cause, à une peine privative de liberté de plus quatre mois, respectivement au prononcé d’une peine pécuniaire de plus de 120 jours-amende. C’est dès lors à juste titre que le Ministère public a refusé de désigner un défenseur d’office au prévenu, les conditions de l’art. 132 al. 1 let. b CPP n’étant pas réunies. 3. Au vu de ce qui précède, le recours, manifestement mal fondé, doit être rejeté, sans échange d’écritures (art. 390 al. 2 CPP), et l’ordonnance du</w:t>
      </w:r>
    </w:p>
    <w:p>
      <w:r>
        <w:rPr>
          <w:b/>
        </w:rPr>
        <w:t>E. 23</w:t>
      </w:r>
    </w:p>
    <w:p>
      <w:r>
        <w:t>décembre 2019 confirmée. III. Les frais de la procédure de récusation et de recours, constitués en l'espèce du seul émolument d’arrêt (art. 422 al. 1 CPP), par 880 fr. (art. 20 al. 1 TFIP [Tarif des frais de procédure et indemnités en matière pénale du 28 septembre 2010; BLV 312.03.1]), seront mis à la charge du requérant et recourant, qui succombe (art. 59 al. 4 et 428 al. 1 CPP). Par ces motifs, la Chambre des recours pénale prononce : I. La demande de récusation présentée par K.________ contre le Procureur [...] est rejetée. II. Le recours est rejeté. III. L'ordonnance du 23 décembre 2019 est confirmée. IV. Les frais d'arrêt, par 880 fr. (huit cent huitante francs), sont mis à la charge d’K.________. V. L’arrêt est exécutoire.</w:t>
      </w:r>
    </w:p>
    <w:p>
      <w:r>
        <w:t>- 9 - Le président : Le greffier : Du Le présent arrêt, dont la rédaction a été approuvée à huis clos, est notifié, par l'envoi d'une copie complète, à : - M. K.________, - Ministère public central, et communiqué à :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