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PE19.000419 vom 6. Februar 2020</w:t>
      </w:r>
    </w:p>
    <w:p>
      <w:r>
        <w:t>VD Tribunal cantonal, 2020-02-06, FR</w:t>
      </w:r>
    </w:p>
    <w:p>
      <w:r>
        <w:rPr>
          <w:b/>
        </w:rPr>
        <w:t xml:space="preserve">Quelle: </w:t>
      </w:r>
      <w:r>
        <w:t>https://mcp.opencaselaw.ch/entscheid/vd_gerichte_PE19.000419</w:t>
      </w:r>
    </w:p>
    <w:p>
      <w:r>
        <w:t>FR: VD_GERICHTE PE19.000419 du 6 février 2020</w:t>
      </w:r>
    </w:p>
    <w:p>
      <w:r>
        <w:t>IT: VD_GERICHTE PE19.000419 del 6 febbraio 2020</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dans la mesure où il conteste la mise à sa charge d’une partie des frais de procédure et le refus du Procureur de lui allouer une indemnité fondée sur l’art. 429 CPP (art. 382 al. 1 CPP), et satisfaisant aux conditions de forme prescrites (art. 385 al. 1 CPP), le recours est recevable.</w:t>
      </w:r>
    </w:p>
    <w:p>
      <w:r>
        <w:rPr>
          <w:b/>
        </w:rPr>
        <w:t>E. 1.2</w:t>
      </w:r>
    </w:p>
    <w:p>
      <w:r>
        <w:t>Dès lors que le recours porte uniquement sur les conséquences économiques accessoires d’une décision de classement et que le montant litigieux est inférieur à 5'000 fr. (art. 395 let. b CPP), il</w:t>
      </w:r>
    </w:p>
    <w:p>
      <w:r>
        <w:t>- 7 - relève de la compétence d’un membre de la Chambre des recours pénale du Tribunal cantonal statuant comme juge unique (art. 13 al. 2 LVCPP).</w:t>
      </w:r>
    </w:p>
    <w:p>
      <w:r>
        <w:rPr>
          <w:b/>
        </w:rPr>
        <w:t>E. 2.1</w:t>
      </w:r>
    </w:p>
    <w:p>
      <w:r>
        <w:t>Le recourant conteste avoir commis une quelconque faute en communiquant à la Chambre V.________ le courriel qu’il avait reçu de D.________ le 20 novembre 2018. Il explique que la Chambre V.________ était constituée à l’époque des faits de Q.________, X.________, R.________, N.________, démissionnaire, et lui-même. Or, D.________ aurait également adressé le courriel litigieux à Q.________ et X.________, puisqu’ils étaient eux aussi membres de la Commission M.________. En outre, seules les personnes ayant une fonction spécifique au sein de la Chambre V.________, à savoir sa présidente, Q.________, son trésorier, X.________ et son secrétaire, soit le recourant, agissaient pour la Chambre V.________ et se réunissaient pour conférer des actions à entreprendre. Le recourant affirme ainsi ne pas avoir transmis le courriel litigieux à R.________, ce que le Ministère public aurait pu vérifier. A défaut de l’avoir fait, le recourant estime que l’instruction ne permettrait pas de démontrer qu’R.________ aurait eu connaissance des informations confidentielles contenues dans le courriel de D.________. Ce serait ainsi en violation du principe de la présomption d’innocence que le Procureur a retenu qu’il avait commis une faute.</w:t>
      </w:r>
    </w:p>
    <w:p>
      <w:r>
        <w:rPr>
          <w:b/>
        </w:rPr>
        <w:t>E. 2.2.1</w:t>
      </w:r>
    </w:p>
    <w:p>
      <w:r>
        <w:t>Aux termes de l'art. 426 al. 2 CPP, lorsque la procédure fait l'objet d'une ordonnance de classement ou que le prévenu est acquitté, tout ou partie des frais peuvent être mis à sa charge s'il a, de manière illicite et fautive, provoqué l'ouverture de la procédure ou rendu plus difficile la conduite de celle-ci. La condamnation d'un prévenu acquitté à supporter tout ou partie des frais doit cependant respecter la présomption d'innocence, consacrée par les art. 32 al. 1 Cst. (Constitution fédérale de la Confédération suisse du 18 avril 1999 ; RS 101) et 6 § 2 CEDH (Convention de sauvegarde des droits de l’homme et des libertés fondamentales du 4</w:t>
      </w:r>
    </w:p>
    <w:p>
      <w:r>
        <w:t>- 8 - novembre 1950 ; RS 0.101). Celle-ci interdit de rendre une décision défavorable au prévenu libéré en laissant entendre que ce dernier serait néanmoins coupable des infractions qui lui étaient reprochées.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référence citée).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ATF 119 IA 332 consid. 1b ; TF 6B_650/2019 du 20 août 2019 consid. 3.1).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pour autant que ce comportement ne viole pas uniquement une obligation contractuelle (ATF 74 II 23 consid. 1b, JdT 1948 I 354).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6B_650/2019 précité).</w:t>
      </w:r>
    </w:p>
    <w:p>
      <w:r>
        <w:rPr>
          <w:b/>
        </w:rPr>
        <w:t>E. 2.2.2</w:t>
      </w:r>
    </w:p>
    <w:p>
      <w:r>
        <w:t>Aux termes de l’art. 429 al. 1 let. a CPP, si le prévenu est acquitté totalement ou en partie ou s’il bénéficie d’une ordonnance de</w:t>
      </w:r>
    </w:p>
    <w:p>
      <w:r>
        <w:t>- 9 -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 TF 6B_650/2019 précité). Dans cette mesure, la décision sur les frais préjuge de la question de l'indemnisation (ATF 144 IV 207 consid. 1.8.2 ; ATF 137 IV 352 consid. 2.4.2 ; TF 6B_650/2019 précité).</w:t>
      </w:r>
    </w:p>
    <w:p>
      <w:r>
        <w:rPr>
          <w:b/>
        </w:rPr>
        <w:t>E. 2.3</w:t>
      </w:r>
    </w:p>
    <w:p>
      <w:r>
        <w:t>En l’espèce, il ressort du dossier (P. 11), complétée par les explications non contredites du recourant (recours, pp. 4-5), qu’au moment des faits litigieux, E.________, Q.________ et X.________ étaient membres à la fois de la Commission M.________ et de la Chambre V.________ et que cette dernière était complétée par R.________ et N.________, démissionnaire. Il s’avère ainsi que Q.________ et X.________ ont eu connaissance des informations relatives à la procédure dirigée contre N.________ en leur qualité de membres de la Commission M.________. Il n’y avait dès lors aucune violation du secret de fonction à leur communiquer le courriel litigieux en leur qualité de membres de la Chambre V.________. Quant à N.________, démissionnaire, il n’était pas destinataire de cet envoi. Enfin, le recourant indique, sans être contredit sur ce point non plus, que le dernier membre de la Chambre V.________, R.________, n’a pas eu connaissance de l’information litigieuse, dans la mesure où il n’exerçait pas de fonction spécifique au sein de la Chambre V.________. Force est ainsi de constater que l’instruction n’a pas permis d’établir qu’au sein de la Chambre V.________, une personne non autorisée aurait eu accès indûment à l’information litigieuse, à savoir la procédure dirigée contre N.________. Il s’ensuit que l’infraction de violation du secret de fonction n’est pas réalisée non plus sous l’angle de la communication du courriel</w:t>
      </w:r>
    </w:p>
    <w:p>
      <w:r>
        <w:t>- 10 - litigieux à la Chambre V.________ et qu’aucune négligence fautive ne peut être reprochée au recourant. Au vu de ce qui précède, c’est à tort que le Procureur a mis une partie des frais de procédure à la charge de E.________ et refusé de lui allouer l’indemnité qu’il réclamait pour ses frais de défense, les conditions des art. 426 al. 2 et 430 al. 1 let. a CPP n’étant pas réalisées.</w:t>
      </w:r>
    </w:p>
    <w:p>
      <w:r>
        <w:rPr>
          <w:b/>
        </w:rPr>
        <w:t>E. 3</w:t>
      </w:r>
    </w:p>
    <w:p>
      <w:r>
        <w:t>En définitive, le recours de E.________ doit être admis et les chiffres II et III de l’ordonnance du 8 janvier 2020 réformés dans le sens du considérant qui précède, l’ordonnance étant confirmée pour le surplus. Les frais de la procédure de recours, constitués en l’espèce du seul émolument d'arrêt, par 900 fr. (art. 20 al. 1 TFIP [Tarif des frais judiciaires et indemnités en matière pénale du 28 septembre 2010 ; BLV 312.03.1]), seront laissés à la charge de l’Etat (art. 428 al. 1 CPP). Le recourant, qui a procédé avec l’assistance d’un avocat de choix et qui a obtenu gain de cause, a droit à une indemnité pour les dépenses occasionnées par la procédure de recours (art. 429 al. 1 let. a CPP, applicable par renvoi de l’art. 436 al. 1 CPP). Au vu du mémoire produit, cette indemnité sera fixée à 600 fr., correspondant à 2 heures d’activité d’avocat au tarif horaire de 300 fr., montant auquel s’ajoutent des débours forfaitaires à concurrence de 2 % (art. 19 al. 2 TDC [Tarif des dépens en matière civile du 23 novembre 2010 ; BLV 270.11.6], applicable par renvoi de l’art. 26a al. 6 TFIP), par 12 fr., ainsi que la TVA, par 47 fr. 10, de sorte que l’indemnité s'élève au total à 659 fr. 10 francs. Elle sera allouée à E.________, à la charge de l’Etat.</w:t>
      </w:r>
    </w:p>
    <w:p>
      <w:r>
        <w:t>- 11 - Par ces motifs, le juge unique prononce : I. Le recours est admis. II. L’ordonnance du 8 janvier 2020 est réformée aux chiffres II et III de son dispositif comme suit : « II. alloue à E.________ une indemnité au sens de l’art. 429 CPP d’un montant de 1'405 fr. 40 (mille quatre cent cinq francs et quarante centimes), à la charge de l’Etat ; III. laisse les frais de procédure à la charge de l’Etat. » L’ordonnance est confirmée pour le surplus. III. Les frais d’arrêt, par 900 fr. (neuf cents francs), sont laissés à la charge de l’Etat. IV. Une indemnité de 659 fr. 10 (six cent cinquante-neuf francs et dix centimes) est allouée à E.________ pour les dépenses occasionnées par la procédure de recours, à la charge de l’Etat. V. L’arrêt est exécutoire. Le juge unique : La greffière : Du Le présent arrêt, dont la rédaction a été approuvée à huis clos, est notifié, par l'envoi d'une copie complète, à : - Me Adrienne Favre, avocate (pour E.________), - M. le Procureur général du canton de Vaud,</w:t>
      </w:r>
    </w:p>
    <w:p>
      <w:r>
        <w:t>- 12 - et communiqué à : - M. le Procureur du Ministère public central, division affaires spéciales, - Département de la sécurité, de l’emploi et de la santé de la République et canton de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