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PE19.000119 vom 27. September 2021</w:t>
      </w:r>
    </w:p>
    <w:p>
      <w:r>
        <w:t>VD Tribunal cantonal, 2021-09-27, FR</w:t>
      </w:r>
    </w:p>
    <w:p>
      <w:r>
        <w:rPr>
          <w:b/>
        </w:rPr>
        <w:t xml:space="preserve">Quelle: </w:t>
      </w:r>
      <w:r>
        <w:t>https://mcp.opencaselaw.ch/entscheid/vd_gerichte_PE19.000119</w:t>
      </w:r>
    </w:p>
    <w:p>
      <w:r>
        <w:t>FR: VD_GERICHTE PE19.000119 du 27 septembre 2021</w:t>
      </w:r>
    </w:p>
    <w:p>
      <w:r>
        <w:t>IT: VD_GERICHTE PE19.000119 del 27 settembre 2021</w:t>
      </w:r>
    </w:p>
    <w:p>
      <w:pPr>
        <w:pStyle w:val="Heading2"/>
      </w:pPr>
      <w:r>
        <w:t>Erwägungen</w:t>
      </w:r>
    </w:p>
    <w:p>
      <w:r>
        <w:rPr>
          <w:b/>
        </w:rPr>
        <w:t>E. 6</w:t>
      </w:r>
    </w:p>
    <w:p>
      <w:r>
        <w:t>A titre subsidiaire, si sa culpabilité devait être reconnue, l’appelant requiert d’être mis au bénéfice de l’art. 52 CP.</w:t>
      </w:r>
    </w:p>
    <w:p>
      <w:r>
        <w:rPr>
          <w:b/>
        </w:rPr>
        <w:t>E. 6.1</w:t>
      </w:r>
    </w:p>
    <w:p>
      <w:r>
        <w:t>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w:t>
      </w:r>
    </w:p>
    <w:p>
      <w:r>
        <w:t>- 13 - graves. Cette différence doit être tellement nette qu'une sanction pénale paraîtrait injustifiée, tant du point de vue de la prévention générale que de celui de la prévention spéciale (Dupuis et al., op. cit., n. 3 ad art. 52 CP et les références citées).</w:t>
      </w:r>
    </w:p>
    <w:p>
      <w:r>
        <w:rPr>
          <w:b/>
        </w:rPr>
        <w:t>E. 6.2</w:t>
      </w:r>
    </w:p>
    <w:p>
      <w:r>
        <w:t>Comme le premier juge, on doit retenir que la culpabilité de l’appelant n’est pas négligeable. L’infraction retenue à son encontre constitue une violation de la sphère privée du plaignant. Son comportement est d’autant plus blâmable qu’il ne pouvait ignorer que le but de l’enregistrement était de s’en servir contre le plaignant. On précise encore que cet enregistrement a été entendu par plusieurs employés de la municipalité, ce qui n'est pas anodin au vu des tensions qui existaient entre les protagonistes. Compte tenu de ce qui précède, on ne peut considérer que l’infraction dont s’est rendu coupable l’appelant n'a entraîné aucun dommage pour le plaignant. Enfin, l’appelant ne semble pas avoir pris conscience de sa propre faute de sorte que, tant du point de vue de la prévention générale que de celui de la prévention spéciale, il n’apparait pas injustifié de prononcer une sanction pénale à son encontre. Par conséquent, les conditions d’application de l’art. 52 CP ne sont pas réalisées. L’appel, mal fondé, doit être rejeté sur ce point également.</w:t>
      </w:r>
    </w:p>
    <w:p>
      <w:r>
        <w:rPr>
          <w:b/>
        </w:rPr>
        <w:t>E. 7</w:t>
      </w:r>
    </w:p>
    <w:p>
      <w:r>
        <w:t>L’appelant, qui conclut à son acquittement, ne conteste pas la quotité de la peine infligée. Elle doit toutefois être vérifiée d’office.</w:t>
      </w:r>
    </w:p>
    <w:p>
      <w:r>
        <w:rPr>
          <w:b/>
        </w:rPr>
        <w:t>E. 7.1.1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- 14 -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Selon l'art. 46 al. 1, 1re phrase, CP,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w:t>
      </w:r>
    </w:p>
    <w:p>
      <w:r>
        <w:t>- 15 -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7.2</w:t>
      </w:r>
    </w:p>
    <w:p>
      <w:r>
        <w:t>En l’espèce, le premier juge a condamné l’appelant à 50 jours- amende, le montant du jour-amende étant fixé à 50 francs. Il a retenu à charge, outre l’antécédent judiciaire, que l’appelant s’était accommodé du comportement illicite de Q.________ et n’avait pas pris conscience de sa propre faute, raison pour laquelle la peine devait être ferme. Il a cependant considéré que l’exécution de ladite peine aurait un effet suffisamment dissuasif pour détourner l’appelant de commettre de nouvelles infractions et a dès lors renoncé à révoquer le sursis accordé le 26 septembre 2017, se contentant de prolonger le délai d’épreuve d’une année. Cette appréciation doit également être confirmée. L’appelant a en effet récidivé quelques mois à peine après une condamnation à 120 jours-amende prononcée avec sursis. Cette menace ne l’a pas dissuadé d’agir. Ses dénégations constantes démontrent une absence de prise de conscience de sa faute de sorte que le pronostic est effectivement défavorable. La sanction prononcée est proportionnée à la faute commise. L’appelant ne conteste pas le montant du jour-amende qui peut être confirmé. L’appel, mal fondé, doit être rejeté.</w:t>
      </w:r>
    </w:p>
    <w:p>
      <w:r>
        <w:rPr>
          <w:b/>
        </w:rPr>
        <w:t>E. 8</w:t>
      </w:r>
    </w:p>
    <w:p>
      <w:r>
        <w:t>L’appelant fait valoir que, si la qualité de plaignant devait être reconnue à K.________, l’indemnité de l’art. 433 CPP allouée par 7'000 fr. en sa faveur est excessive.</w:t>
      </w:r>
    </w:p>
    <w:p>
      <w:r>
        <w:rPr>
          <w:b/>
        </w:rPr>
        <w:t>E. 8.1</w:t>
      </w:r>
    </w:p>
    <w:p>
      <w:r>
        <w:t>Aux termes de l’art. 433 CPP, la partie plaignante peut demander au prévenu une juste indemnité pour les dépenses obligatoires</w:t>
      </w:r>
    </w:p>
    <w:p>
      <w:r>
        <w:t>- 16 -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8.2</w:t>
      </w:r>
    </w:p>
    <w:p>
      <w:r>
        <w:t>En l’espèce, le conseil du plaignant a produit une liste d’opérations couvrant la période du 13 décembre 2018 au 24 septembre 2019, faisant état d’une activité de 21h10 au tarif horaire de 350 francs (P. 57). Le premier juge a alloué une indemnité de 7'000 fr., réduisant légèrement la durée alléguée par l’avocat. Contrairement à ce que soutient l’appelant, cette durée n’est pas excessive. En effet, on relève tout d’abord que – contrairement à l’appelant dont le défenseur n’est intervenu que plus tard dans la procédure – le plaignant a fait appel à un conseil professionnel dès qu’il a été informé de l’infraction commise. Par ailleurs, l’intervention dudit conseil était nécessaire pour sauvegarder les intérêts du plaignant dont la réputation et l’honorabilité étaient remises en question auprès de ses collègues de la Municipalité de [...]. On ne peut suivre le grief de</w:t>
      </w:r>
    </w:p>
    <w:p>
      <w:r>
        <w:t>- 17 - l’appelant tiré du fait que certaines activités déployées par l’avocat concernaient Q.________ et ne devaient pas être retenues pour fixer l’indemnité mise à sa charge. En effet, l’appelant et Q.________ ont agi de concert à l’encontre du plaignant et ont été entendus dans le cadre de la même enquête, sans que l’on observe de doublons. Enfin, on relève que l’appelant a, quant à lui, requis l’allocation de 9'623 fr. 70 en sa faveur au titre de l’indemnité de l’art. 429 CPP, alléguant avoir consacré 18 heures à ce mandat, rémunérées au tarif horaire de 450 fr. (P. 58/5). En comparaison à ce montant, l’indemnité allouée au plaignant par le premier juge n'est pas excessive. Ceci posé, la Cour considère que le tarif horaire appliqué – 350 fr. – est excessif, s’agissant d’une affaire de police, tranchant le mérite d’une plainte portant sur une seule infraction poursuivie sur plainte. Quant à l’affaire en elle-même, elle ne présente guère de difficultés particulières. Un tarif horaire de 300 fr. est adéquat. L’indemnité à laquelle K.________ peut prétendre au titre de l’art. 433 CPP sera ramenée à 6'450 fr. (21h30 x 300).</w:t>
      </w:r>
    </w:p>
    <w:p>
      <w:r>
        <w:rPr>
          <w:b/>
        </w:rPr>
        <w:t>E. 9</w:t>
      </w:r>
    </w:p>
    <w:p>
      <w:r>
        <w:t>L’appelant conclut au versement en sa faveur d’une indemnité de 9'793 fr. (P. 77) pour les dépenses occasionnées par l’exercice raisonnable de ses droits en première instance et à ce que les frais de procédure soient laissés à la charge de l’Etat. Dès lors que sa condamnation pour enregistrement non autorisé de conversation est confirmée, cette conclusion doit être rejetée.</w:t>
      </w:r>
    </w:p>
    <w:p>
      <w:r>
        <w:rPr>
          <w:b/>
        </w:rPr>
        <w:t>E. 10</w:t>
      </w:r>
    </w:p>
    <w:p>
      <w:r>
        <w:t>En définitive, l’appel de H.________ doit être très partiellement admis dans le sens des considérants qui précèdent (cf. consid. 8.2). L’intimé, qui a conclu au rejet intégral de l’appel, obtient largement gain de cause puisque la culpabilité de l’appelant est confirmée et que l’admission très partielle de l’appel ne porte que sur le tarif horaire appliqué pour fixer l’indemnité due par l’appelant à l’intimé au sens de</w:t>
      </w:r>
    </w:p>
    <w:p>
      <w:r>
        <w:t>- 18 - l’art. 433 CPP. L’intimé n’avait toutefois à se déterminer que sur la seule question des dépens qui lui avaient été alloués par le premier juge. Dans ces conditions, même si l’intimé est largement victorieux, il est équitable de compenser les dépens de deuxième instance. En équité également, la part des frais de la procédure d’appel qui aurait dû être supportée par l’intimé sera laissée à la charge de l’Etat. Vu l’issue de la cause, les frais de la procédure d’appel, constitués du seul émolument de jugement, par 1’760 fr. (art. 21 al. 1 TFIP [tarif des frais de procédure et indemnités en matière pénale du 28 septembre 2010 ; BLV 312.03.1), seront mis à la charge de H.________ à raison de sept huitième, soit 1’540 fr.,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