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PE18.025221 vom 14. Oktober 2019</w:t>
      </w:r>
    </w:p>
    <w:p>
      <w:r>
        <w:t>VD Tribunal cantonal, 2019-10-14, FR</w:t>
      </w:r>
    </w:p>
    <w:p>
      <w:r>
        <w:rPr>
          <w:b/>
        </w:rPr>
        <w:t xml:space="preserve">Quelle: </w:t>
      </w:r>
      <w:r>
        <w:t>https://mcp.opencaselaw.ch/entscheid/vd_gerichte_PE18.025221</w:t>
      </w:r>
    </w:p>
    <w:p>
      <w:r>
        <w:t>FR: VD_GERICHTE PE18.025221 du 14 octobre 2019</w:t>
      </w:r>
    </w:p>
    <w:p>
      <w:r>
        <w:t>IT: VD_GERICHTE PE18.025221 del 14 ottobre 2019</w:t>
      </w:r>
    </w:p>
    <w:p>
      <w:pPr>
        <w:pStyle w:val="Heading2"/>
      </w:pPr>
      <w:r>
        <w:t>Erwägungen</w:t>
      </w:r>
    </w:p>
    <w:p>
      <w:r>
        <w:rPr>
          <w:b/>
        </w:rPr>
        <w:t>E. 16</w:t>
      </w:r>
    </w:p>
    <w:p>
      <w:r>
        <w:t>décembre 2005 sur la protection des animaux; RS 455) et 17 let. h OPAn. A.J.________ a formé opposition à cette ordonnance le 29 novembre 2018. Le 7 décembre 2018, le Préfet du district de Lausanne a maintenu son ordonnance pénale et a transmis le dossier de la cause au Tribunal de police de l’arrondissement de Lausanne en vue des débats. C. Par jugement du 22 mai 2019, le Tribunal de police de l’arrondissement de Lausanne a libéré A.J.________ du chef d’accusation d’infraction à la loi fédérale et à l’ordonnance sur la protection des animaux (I), a alloué à cette dernière une somme de 1'750 fr. à titre d’indemnité au sens de l’art. 429 CPP (II) et a laissé les frais de procédure à la charge de l’Etat (III). Le dispositif de ce jugement a été communiqué au défenseur de A.J.________ et au Ministère public central du canton de Vaud le 27 mai 2019. Il a également été transmis à l’Office fédéral de la sécurité alimentaire et des affaires vétérinaires (ci-après : OSAV) par courrier électronique envoyé le 14 juin 2019. D. Par annonce du 19 juin 2019, puis déclaration du 11 juillet 2019, consécutive à la notification du jugement motivé le 21 juin 2019, le Ministère public de la Confédération a interjeté appel, en concluant à la condamnation de A.J.________ pour infraction à l’art. 28 al. 1 let. g LPA en référence à l’art. 17 let. h OPAn, subsidiairement à l’annulation du jugement et au renvoi de la cause en première instance pour nouveau jugement. A l’appui de sa déclaration d’appel, il a produit un lot de pièces. Le 26 juillet 2019, A.J.________ a présenté une demande de non-entrée en matière, en invoquant la tardiveté de l'annonce d'appel. Le 12 août 2019, dans le délai imparti à cet effet, le Ministère public de la</w:t>
      </w:r>
    </w:p>
    <w:p>
      <w:r>
        <w:t>- 5 - Confédération a conclu au rejet de cette demande et a produit des pièces destinées à démontrer qu'il avait agi en temps utile. Par lettre adressée aux parties le 27 août 2019, le Président de la Cour d’appel pénale a constaté que l’annonce d’appel avait été déposée à temps, ensuite de la communication tardive du dispositif du jugement à l’autorité fédérale. Il a informé les parties que la procédure écrite était applicable et que la cause ressortait de la compétence d’un juge unique, et a imparti un délai de dix jours à la partie intimée pour déposer un mémoire de réponse – ce qu'elle n'a pas fait à temps –, la déclaration d’appel motivée du Ministère public fédéral valant mémoire d’appel motivé au sens de l’art. 406 al. 3 CPP. Il a encore considéré que les pièces nouvelles produites par l’appelant étaient irrecevables en application de l’art. 398 al. 4 CPP, à l’exception de celles produites à l’appui des déterminations concernant la recevabilité de l’appel. Le 25 septembre 2019, le Président a imparti un délai au 7 octobre 2019 au défenseur de A.J.________ pour déposer une liste de ses opérations en vue de la fixation d'une éventuelle indemnité. Par courrier du 9 octobre 2019, le défenseur de A.J.________ a exposé qu'aucun délai n'avait été fixé au Ministère public pour déposer un mémoire d'appel motivé et a requis la fixation d'un tel délai, puis qu'ensuite un délai soit imparti à la partie intimée pour se prononcer à son tour. La défense a également déposé des déterminations sur l'appel et a conclu à son rejet. Elle a également produit une note d'honoraires. Le 18 octobre 2019, le Président de la Cour d'appel pénale a informé la partie intimée qu'un délai lui avait été fixé pour se déterminer sur le fond, qu'elle ne l'avait pas respecté et qu'aucun délai d'écriture complémentaire ne serait fixé aux parties. En d roit :</w:t>
      </w:r>
    </w:p>
    <w:p>
      <w:r>
        <w:t>- 6 - 1. 1.1 1.1.1 Aux termes de l’art. 399 al. 1 CPP (Code de procédure pénale suisse du 5 octobre 2007; RS 312.0), la partie annonce l’appel au tribunal de première instance par écrit ou oralement pour mention au procès- verbal dans le délai de dix jours à compter de la communication du jugement. Selon l’art. 399 al. 3 1re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 Reymond, Code de procédure pénale, Petit commentaire, 2e éd., Bâle 2016, n. 25a ad art. 399 CPP). Conformément à l’art. 90 al. 1 CPP, les délais fixés en jours commencent à courir le jour qui suit leur notification ou l’évènement qui les déclenche. Le délai de 10 jours pour déposer l’annonce d’appel – qui ne peut pas être prolongé (art. 89 al. 1 CPP) – commence donc à courir le jour qui suit la notification du dispositif du jugement (art. 384 let. a CPP). 1.1.2 Selon l’art. 3 ch. 12 de l’ordonnance réglant la communication des décisions pénales prises par les autorités cantonales du 10 novembre 2004 (RS 312.3), les autorités cantonales sont tenues de communiquer à l’Office fédéral de la sécurité alimentaire et des affaires vétérinaires tous les jugements, prononcés administratifs et ordonnances de non-lieu rendus en application de la LPA. Les décisions pénales doivent être communiquées en expédition intégrale sans retard et sans frais à l’Office de l’administration fédérale auquel ressortit l’affaire. 1.1.3 En l’occurrence, le dispositif du jugement du 22 mai 2019 a été communiqué à l’OSAV tardivement par courriel du 14 juin 2019, à sa demande, dès lors qu'il a eu connaissance de l'affaire par la presse, l’autorité de première instance n’ayant pas respecté son devoir de</w:t>
      </w:r>
    </w:p>
    <w:p>
      <w:r>
        <w:t>- 7 - communication à l’autorité fédérale. Partant, le délai de dix jours pour déposer l’annonce d’appel a commencé à courir le 15 juin 2019, de sorte que l’annonce d’appel déposée le 19 juin 2019 l’a été en temps utile. Quant à la déclaration d’appel du 11 juillet 2019, elle a été déposée exactement vingt jours après la notification du jugement motivé le</w:t>
      </w:r>
    </w:p>
    <w:p>
      <w:r>
        <w:rPr>
          <w:b/>
        </w:rPr>
        <w:t>E. 21</w:t>
      </w:r>
    </w:p>
    <w:p>
      <w:r>
        <w:t>juin 2019. L’appel a donc été interjeté en temps utile et la demande de non-entrée en matière de l'intimée a été rejetée. 1.2 1.2.1 Selon l’art. 381 al. 4 let. a CPP, le Ministère public de la Confédération peut recourir contre des décisions cantonales lorsque le droit fédéral prévoit que la décision doit être communiquée à lui-même ou à une autre autorité fédérale. 1.2.2 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 1.2.3 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 1.3 Compte tenu de ce qui précède, l'appel a été interjeté dans les formes et délais légaux (art. 385 et 399 CPP) contre un jugement d’un</w:t>
      </w:r>
    </w:p>
    <w:p>
      <w:r>
        <w:t>- 8 - tribunal de première instance qui a clos la procédure (art. 398 al. 1 CPP), par une partie qui a la qualité pour recourir (art. 381 al. 4 let. a CPP, 81 al. 2 et 111 al. 2 LTF), de sorte qu'il est recevable. 1.4 S'agissant d'une procédure d’appel ne portant que sur une contravention de droit fédéral, la procédure écrite est applicable (art. 406 al. 1 let. c CPP) et la cause ressort de la compétence d'un juge unique de la Cour d’appel pénale (art. 14 al. 3 LVCPP [Loi vaudoise d'introduction du Code de procédure pénale suisse du 19 mai 2009; BLV 312.01]), ce dont les parties ont été avisées. Le 27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A.J.________ le 9 octobre 2019 sont irrecevables pour tardiveté. Celle-ci ne peut en effet pas se prévaloir d'un délai qui selon elle aurait dû être fixé à l'appelant pour déposer une écriture complémentaire au sens de l'art. 406 al. 3 CPP, ni de la jurisprudence qu'elle cite (TF 6B_1418/2017 du</w:t>
      </w:r>
    </w:p>
    <w:p>
      <w:r>
        <w:rPr>
          <w:b/>
        </w:rPr>
        <w:t>E. 23</w:t>
      </w:r>
    </w:p>
    <w:p>
      <w:r>
        <w:t>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27 août 2019. 1.5</w:t>
      </w:r>
    </w:p>
    <w:p>
      <w:r>
        <w:t>- 9 - 1.5.1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1.5.2 En l’espèce, les pièces nouvelles, soit qui ne figuraient pas déjà au dossier, produites par le Ministère public de la Confédération à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 2. 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w:t>
      </w:r>
    </w:p>
    <w:p>
      <w:r>
        <w:t>- 10 - 2.1 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2.2 A.J.________ a été renvoyée devant le Tribunal de police de l’arrondissement de Lausanne ensuite de son opposition à l’ordonnance pénale du 21 novembre 2018, aux termes de laquelle il lui était reproché d’avoir laissé les mamelles de sa vache se remplir au-delà des limites physiologiques.</w:t>
      </w:r>
    </w:p>
    <w:p>
      <w:r>
        <w:t>- 11 - 2.3 En l’espèce, l’échographie pratiquée le 11 janvier 2018 a révélé que le pis de la vache présentait un œdème de score 2 et ce constat est à l’origine de la dénonciation de la prévenue à l’autorité préfectorale par le Vétérinaire cantonal, qui a expliqué que cet œdème était causé par un dépassement des limites physiologiques (surcharge de lait) en raison d’une prolongation excessive de l’intervalle de traite, sur une échelle de 0 à 3, les scores de 2 et 3 péjorant le bien-être de l’animal selon les spécialistes. Ces éléments de fait, qui ressortent de la dénonciation du 14 mars 2018 et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11 janvier 2018, le pis de la vache dont A.J.________ était responsable a présenté un œdème de score 2, résultant d’un intervalle de traite trop long et péjorant moyennement le bien-être de l’animal ». 3. L’appelant conteste ensuite que la base légale applicable soit insuffisamment précise pour sanctionner le comportement de la prévenue, soit le moyen libératoire retenu par le premier juge. 3.1 3.1.1 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 3.1.2 L’exigence de précision (nulla poena sine lege certa) constitue l’une des facettes du principe de la légalité, selon lequel une peine ou une mesure ne peuvent être prononcées qu’en raison d’un acte expressément</w:t>
      </w:r>
    </w:p>
    <w:p>
      <w:r>
        <w:t>- 12 -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 3.2 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 4. L’appelant soutient enfin que la prévenue a adopté le comportement réprimé par l’art. 17 let. h OPAn, à tout le moins par dol éventuel, en voulant présenter sa vache avec une mamelle plus rebondie pour les besoins du concours, en ne respectant sciemment pas l’intervalle de traite qu'elle devait manifestement connaître. Selon lui, même si A.J.________ avait déclaré avoir respecté un intervalle de traite de 12 à 13</w:t>
      </w:r>
    </w:p>
    <w:p>
      <w:r>
        <w:t>- 13 - heures, ce n’était pas cet intervalle qui serait en soi déterminant, mais bien le fait de pouvoir constater de manière objective le moment à partir duquel la mamelle s’était remplie au-delà des limites physiologiques de l’animal, et l'œdème de score 2 diagnostiqué démontrerait que cet intervalle était effectivement trop long, ce que la prévenue ne pouvait pas ignorer. 4.1 4.1.1 L’art. 28 al. 1 let. g LPA assure la protection pénale de l’interdiction posée à l’art. 17 let. h OPAn en punissant d’une amende de 20'000 fr. au plus quiconque, intentionnellement se livre sur des animaux à d’autres pratiques interdites par la présente loi ou par son ordonnance. Si l’auteur a agi par négligence, il est puni de l’amende (al. 2). 4.1.2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alii, Petit commentaire CP, 2e éd., Bâle 2017, n. 10 ad art. 12 CP et les références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(ATF 125 IV 242 consid. 3c; ATF 119 IV 1 consid. 5a; TF 6B_246/2012 du 10 juillet 2012 consid. 1.1.1 et les références citées). Le dol éventuel ne suppose pas nécessairement que la survenance du résultat soit très probable, mais seulement possible,</w:t>
      </w:r>
    </w:p>
    <w:p>
      <w:r>
        <w:t>- 14 -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w:t>
      </w:r>
    </w:p>
    <w:p>
      <w:r>
        <w:rPr>
          <w:b/>
        </w:rPr>
        <w:t>E. 24</w:t>
      </w:r>
    </w:p>
    <w:p>
      <w:r>
        <w:t>juin 2011 consid. 3.1.3; TF 4A_594/2009 du 27 juillet 2010 consid. 3.5).</w:t>
      </w:r>
    </w:p>
    <w:p>
      <w:r>
        <w:t>- 15 -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précité; ATF 135 IV 152 précité; TF 6B_180/2011 du 5 avril 2012 consid. 1.2, non publié à l’ATF 138 IV 113). L’art. 12 CP est applicable aux contraventions en vertu du renvoi de l’art. 104 CP. 4.2 En l’espèce, le jugement de première instance retient notamment que A.J.________ a déclaré qu’elle ne comprenait pas sur quelle base les faits qui lui sont reprochés avaient été retenus, que c’était la première exposition durant laquelle un contrôle avec échographie était réalisé, qu’elle n’avait pas connaissance de normes quant à l’intervalle qui devrait exister entre les traites – qui dépendait de divers critères – qu’en règle générale elle pratiquait un intervalle de traite de 12 à 15 heures et, enfin, que des examinateurs avaient observé sa vache avant de l’admettre au concours, lesquels avaient en particulier vérifié si la vache présentait un œdème, ce qu’ils avaient exclu : ce n’était qu’à la sortie du ring que sa vache avait été soumise à un contrôle par ultrasons et qu’à ce moment-là, un œdème de degré 2 avait été détecté, et elle avait insisté sur le fait que tel œdème ne pouvait pas être détecté selon les méthodes traditionnelles pratiquées jusque-là. En présumant au bénéfice du doute que la durée d’intervalle de traite de 12 à 13 heures qu’elle avait donnée pour le jour en question est juste, la prévenue, faute d’avoir constaté visuellement, en compagnie des examinateurs, la présence d’un œdème, n’a pas eu l’intention de commettre la contravention réprimée à l’art. 17 let. h OPAn. L’appelant soutient que la prévenue a tenu l’exagération de cet intervalle pour possible et qu’elle l’aurait acceptée au cas où elle se traduirait par une péjoration du bien-être de l’animal. Cependant, comme elle n’a pas constaté, de bonne foi, de déformation ou d’atteinte physiologique, ni un</w:t>
      </w:r>
    </w:p>
    <w:p>
      <w:r>
        <w:t>- 16 - comportement inhabituel de l'animal, on ne saurait retenir qu’elle aurait accepté le contraire au cas où une nouvelle méthode, plus pointue, de dépistage – et dont la mise en œuvre lui était inconnue – l’aurait mis à jour. Un dol éventuel doit donc être écarté. Les exposants n'avaient pas été avertis de l'entrée en vigueur des nouvelles techniques de détection permettant de constater des œdèmes invisibles à l'œil nu. On ne saurait non plus retenir une faute par négligence dans la mesure où la prévenue s’est fiée à une technique jusqu'alors systématiquement mise en œuvre dans les concours : le contrôle visuel du remplissage du pis avant l’entrée sur le ring, au demeurant imposé par la clause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 Faute de dol éventuel ou de négligence, l’élément subjectif n’est pas réalisé. L'appel du Ministère public de la Confédération est donc mal fondé et l’acquittement doit être confirmé, par substitution de motifs. 5. Au vu de ce qui précède, l’appel doit être rejeté et le jugement du 22 mai 2019 confirmé. A.J.________,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la cliente et le juge, ainsi que la rédaction d'une requête de non-entrée en matière. La rémunération du défenseur en cause pour son activité utile et nécessaire doit donc être arrêtée à 1'911</w:t>
      </w:r>
    </w:p>
    <w:p>
      <w:r>
        <w:t>- 17 - fr. 45, correspondant à 6 heures d'activité au tarif horaire de 290 fr., à 34 fr. 80 de débours au taux forfaitaire de 2% (art. 19 al. 2 TDC [Tarif des dépens en matière civile du 23 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A.J.________. C'est donc un montant de 637 fr. 15 qui sera alloué à cette dernière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 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