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PE18.025220 vom 14. Dezember 2020</w:t>
      </w:r>
    </w:p>
    <w:p>
      <w:r>
        <w:t>VD Tribunal cantonal, 2020-12-14, FR</w:t>
      </w:r>
    </w:p>
    <w:p>
      <w:r>
        <w:rPr>
          <w:b/>
        </w:rPr>
        <w:t xml:space="preserve">Quelle: </w:t>
      </w:r>
      <w:r>
        <w:t>https://mcp.opencaselaw.ch/entscheid/vd_gerichte_PE18.025220</w:t>
      </w:r>
    </w:p>
    <w:p>
      <w:r>
        <w:t>FR: VD_GERICHTE PE18.025220 du 14 décembre 2020</w:t>
      </w:r>
    </w:p>
    <w:p>
      <w:r>
        <w:t>IT: VD_GERICHTE PE18.025220 del 14 dicembre 2020</w:t>
      </w:r>
    </w:p>
    <w:p>
      <w:pPr>
        <w:pStyle w:val="Heading2"/>
      </w:pPr>
      <w:r>
        <w:t>Erwägungen</w:t>
      </w:r>
    </w:p>
    <w:p>
      <w:r>
        <w:rPr>
          <w:b/>
        </w:rPr>
        <w:t>E. 3.1</w:t>
      </w:r>
    </w:p>
    <w:p>
      <w:r>
        <w:t>L’appelante fait valoir que le Tribunal de police aurait erré en retenant à son encontre l’infraction de voies de fait qualifiées alors même que le dossier ne permettrait pas d’établir des actes répétés, et alors même que le droit à la correction – en conséquence d’un comportement inadapté de l’enfant et dans un but éducatif – aurait dû s’appliquer.</w:t>
      </w:r>
    </w:p>
    <w:p>
      <w:r>
        <w:rPr>
          <w:b/>
        </w:rPr>
        <w:t>E. 3.2</w:t>
      </w:r>
    </w:p>
    <w:p>
      <w:r>
        <w:t>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partenaire hétérosexuel ou homosexuel pour autant qu'ils fassent ménage commun pour une durée indéterminée et que les atteintes aient été commises durant cette période ou dans l'année qui a suivi la séparation (al. 2 let. 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références).</w:t>
      </w:r>
    </w:p>
    <w:p>
      <w:r>
        <w:t>- 7 -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 Bâle 2009,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w:t>
      </w:r>
    </w:p>
    <w:p>
      <w:r>
        <w:rPr>
          <w:b/>
        </w:rPr>
        <w:t>E. 3.3</w:t>
      </w:r>
    </w:p>
    <w:p>
      <w:r>
        <w:t>L’appelante a été renvoyée devant le Tribunal de police pour voies de fait qualifiées ensuite de son opposition à l’ordonnance pénale rendue le 7 avril 2020 par le Ministère public de l’arrondissement de La Côte. Dès lors que l’art. 126 CP définit une contravention, l’art. 398 al. 4 CPP est applicable. Il s’ensuit que l’appel est limité à l’arbitraire dans l’établissement des faits. Ce faisant, l’appelante se borne à critiquer l’appréciation des faits à laquelle s’est livré le Tribunal de police sans démontrer en quoi cette appréciation serait arbitraire. Il faut qualifier cette déclaration d’appelatoire. Elle est irrecevable dans le cadre de l’appel restreint définit par l’art. 398 al. 4 CPP. L’infraction de voies de fait qualifiée au sens de l’art. 126 al. 2 CP étant confirmée, il n’est pas nécessaire d’examiner plus avant le moyen soulevé par l’appelante en relation avec l’art. 126 al. 1 CP et le défaut de plainte.</w:t>
      </w:r>
    </w:p>
    <w:p>
      <w:r>
        <w:rPr>
          <w:b/>
        </w:rPr>
        <w:t>E. 4.1</w:t>
      </w:r>
    </w:p>
    <w:p>
      <w:r>
        <w:t>L’appelante soutient que son comportement devrait être apprécié à l’aune du droit de correction des parents. Elle se réclame de l’art. 48 let. a ch. 2 CP. Selon elle, le premier juge aurait admis une</w:t>
      </w:r>
    </w:p>
    <w:p>
      <w:r>
        <w:t>- 8 - circonstance atténuante en retenant qu’elle avait été exposée à une détresse familiale et personnelle, mais n’en aurait pas tenu compte dans la fixation de la peine.</w:t>
      </w:r>
    </w:p>
    <w:p>
      <w:r>
        <w:rPr>
          <w:b/>
        </w:rPr>
        <w:t>E. 4.2.1</w:t>
      </w:r>
    </w:p>
    <w:p>
      <w:r>
        <w:t>A l’égard des personnes titulaires de l’autorité parentale, un éventuel droit de correction peut tout au plus justifier de légères sanctions corporelles, ne doit s’envisager que comme la réponse à un comportement inadapté de l’enfant, et ne peut intervenir que dans un but strictement éducatif, tout en devant demeurer exceptionnel (ATF 129 IV 216 consid. 2.4). Il faut donc conclure, dans ce contexte, que le droit de correction des parents demeure, mais qu’il est très sérieusement limité, tant d’un point de vue qualitatif que quantitatif (Dupuis et alii, op. cit. n. 10 ad art. 126 CP).</w:t>
      </w:r>
    </w:p>
    <w:p>
      <w:r>
        <w:rPr>
          <w:b/>
        </w:rPr>
        <w:t>E. 4.2.2</w:t>
      </w:r>
    </w:p>
    <w:p>
      <w:r>
        <w:t>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w:t>
      </w:r>
    </w:p>
    <w:p>
      <w:r>
        <w:rPr>
          <w:b/>
        </w:rPr>
        <w:t>E. 4.3</w:t>
      </w:r>
    </w:p>
    <w:p>
      <w:r>
        <w:t>En l’occurrence, les faits retenus par le premier juge ne permettent pas d’admettre que l’appelante était dans un état de détresse si grave qu’elle ne pouvait faire autrement que de se livrer à des voies de fait répétées sur son enfant. L’appelante n’entreprend d’ailleurs pas de le démontrer. En outre, la situation de détresse familiale exposée par P.________, et admise par le premier juge, ne peut en aucun justifier la violence, en l’espèce physique, commise à réitérées reprises sur son</w:t>
      </w:r>
    </w:p>
    <w:p>
      <w:r>
        <w:t>- 9 - enfant. C’est le lieu de rappeler, comme l’a mentionné le premier juge, qu’il appartient à tout parent, quelles que soient ses ressources et sa situation familiale, personnelle et sociale, de protéger à tout prix son enfant. D’autres moyens nettement moins incisifs sont possibles, de sorte que le principe de proportionnalité n’est pas respecté. Mal fondé, le moyen doit être rejeté.</w:t>
      </w:r>
    </w:p>
    <w:p>
      <w:r>
        <w:rPr>
          <w:b/>
        </w:rPr>
        <w:t>E. 5</w:t>
      </w:r>
    </w:p>
    <w:p>
      <w:r>
        <w:t>L’appelante ne critique pas la peine en tant que telle puisqu’elle conclut à son acquittement et subsidiairement à pouvoir bénéficier d’une circonstance atténuante légale. Or, comme on l’a vu ci- dessus, P.________ s’est rendue coupable de voies de fait qualifiées et aucune circonstance atténuante légale ne saurait être retenue en sa faveur. Ceci étant posé, la culpabilité de P.________, bien que la faute commise par celle-ci soit objectivement grave, peut être qualifiée de moyenne pour tenir compte de sa situation personnelle difficile. Dans ces circonstances, l’amende de 1'000 fr. prononcée par le premier juge, qui est en accord avec la situation de l’appelante, doit être confirmée, de même que la peine privative de liberté de substitution de 10 jours en cas de non-paiement fautif.</w:t>
      </w:r>
    </w:p>
    <w:p>
      <w:r>
        <w:rPr>
          <w:b/>
        </w:rPr>
        <w:t>E. 6</w:t>
      </w:r>
    </w:p>
    <w:p>
      <w:r>
        <w:t>Au vu de ce qui précède, l’appel formé par P.________ doit être rejeté et le jugement entrepris confirmé. Vu l’issue de la cause, les frais d'appel, constitués du seul émolument de jugement, par 810 fr. (art. 21 al. 1 TFIP [Tarif des frais de procédure et indemnités en matière pénale du 28 septembre 2010; BLV 312.03.1]) seront mis à la charge de P.________, qui succombe (art. 428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