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PE18.025211 vom 10. Januar 2019</w:t>
      </w:r>
    </w:p>
    <w:p>
      <w:r>
        <w:t>VD Tribunal cantonal, 2019-01-10, FR</w:t>
      </w:r>
    </w:p>
    <w:p>
      <w:r>
        <w:rPr>
          <w:b/>
        </w:rPr>
        <w:t xml:space="preserve">Quelle: </w:t>
      </w:r>
      <w:r>
        <w:t>https://mcp.opencaselaw.ch/entscheid/vd_gerichte_PE18.025211</w:t>
      </w:r>
    </w:p>
    <w:p>
      <w:r>
        <w:t>FR: VD_GERICHTE PE18.025211 du 10 janvier 2019</w:t>
      </w:r>
    </w:p>
    <w:p>
      <w:r>
        <w:t>IT: VD_GERICHTE PE18.025211 del 10 gennaio 2019</w:t>
      </w:r>
    </w:p>
    <w:p>
      <w:pPr>
        <w:pStyle w:val="Heading2"/>
      </w:pPr>
      <w:r>
        <w:t>Erwägungen</w:t>
      </w:r>
    </w:p>
    <w:p>
      <w:r>
        <w:rPr>
          <w:b/>
        </w:rPr>
        <w:t>E. 6</w:t>
      </w:r>
    </w:p>
    <w:p>
      <w:r>
        <w:t>En définitive, le recours, manifestement mal fondé, doit être rejeté sans échange d’écritures (art. 390 al. 2 CPP) et l’ordonnance entreprise confirmée. Les frais de la procédure de recours, constitués en l’espèce de l’émolument d'arrêt, par 1’320 fr. (art. 20 al. 1 TFIP [Tarif des frais judiciaires de procédure et indemnités en matière pénale du 28 septembre 2010; BLV 312.03.1]), et des frais imputables à la défense d’office (art. 422 al. 1 et 2 let. a CPP), fixés à 360 fr., plus la TVA par 27 fr. 70, soit à</w:t>
      </w:r>
    </w:p>
    <w:p>
      <w:r>
        <w:t>- 13 - 387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28 décembre 2018 est confirmée. III. L’indemnité allouée au défenseur d’office de Q.________ est fixée à 387 fr. 70 (trois cent huitante-sept francs et septante centimes). IV. Les frais d’arrêt, par 1’320 fr. (mille trois cent vingt francs), ainsi que l’indemnité due au défenseur d’office de Q.________, par 387 fr. 70 (trois cent huitante-sept francs et septante centimes), sont mis à la charge de ce dernier. V. Le remboursement à l'Etat de l'indemnité allouée au chiffre III ci-dessus ne sera exigible que pour autant que la situation économique de Q.________ le permette. VI. L’arrêt est exécutoire. Le président : La greffière :</w:t>
      </w:r>
    </w:p>
    <w:p>
      <w:r>
        <w:t>- 14 - Du Le présent arrêt, dont la rédaction a été approuvée à huis clos, est notifié, par l'envoi d'une copie complète, à : - Me Franck-Olivier Karlen, avocat (pour Q.________), - Ministère public central, et communiqué à : - Mme la Présidente du Tribunal des mesures de contrainte, - Mme la Procureure de l’arrondissement de Lausanne, - Service de la population, secteur étrangers (Q.________, né le [...].2000),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