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PE18.025114 vom 30. Dezember 2019</w:t>
      </w:r>
    </w:p>
    <w:p>
      <w:r>
        <w:t>VD Tribunal cantonal, 2019-12-30, FR</w:t>
      </w:r>
    </w:p>
    <w:p>
      <w:r>
        <w:rPr>
          <w:b/>
        </w:rPr>
        <w:t xml:space="preserve">Quelle: </w:t>
      </w:r>
      <w:r>
        <w:t>https://mcp.opencaselaw.ch/entscheid/vd_gerichte_PE18.025114</w:t>
      </w:r>
    </w:p>
    <w:p>
      <w:r>
        <w:t>FR: VD_GERICHTE PE18.025114 du 30 décembre 2019</w:t>
      </w:r>
    </w:p>
    <w:p>
      <w:r>
        <w:t>IT: VD_GERICHTE PE18.025114 del 30 dicembre 2019</w:t>
      </w:r>
    </w:p>
    <w:p>
      <w:pPr>
        <w:pStyle w:val="Heading2"/>
      </w:pPr>
      <w:r>
        <w:t>Erwägungen</w:t>
      </w:r>
    </w:p>
    <w:p>
      <w:r>
        <w:rPr>
          <w:b/>
        </w:rPr>
        <w:t>E. 17</w:t>
      </w:r>
    </w:p>
    <w:p>
      <w:r>
        <w:t>septembre 2019, B.W.________ a recouru auprès de la Chambre des recours pénale du Tribunal cantonal « contre la décision de la procureure Mme [...] du 10 septembre 2019 ». Le 30 septembre 2019, le Président de la Cour de céans a imparti à B.W.________ un délai au 8 octobre 2019 pour qu’il lui indique s’il entendait recourir contre l’ordonnance pénale du 10 septembre 2019 ou contre l’ordonnance de non-entrée en matière du 22 août 2019, dès lors qu’il paraissait s’en prendre, dans son écriture du 17 septembre 2019, aux motifs de l’ordonnance de non-entrée en matière. Le 1er octobre 2019, B.W.________ a précisé qu’il recourait « contre la décision de non entrée en matière rendue par la procureure Mme [...] du 10 septembre 2019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- 9 - Chambre des recours pénale du Tribunal cantonal (art. 13 LVCPP [Loi d’introduction du Code de procédure pénale suisse du 19 mai 2009 ; BLV 312.01] ; art. 80 LOJV [Loi d’organisation judiciaire du 12 décembre 1979 ; BLV 173.01]). 1.2 En l’espèce, B.W.________ a précisé qu’il recourait contre « la décision de non entrée en matière rendue par la procureure Mme [...] du 10 septembre 2019 ». Or, dans le cadre de la procédure PE18.025114, l’ordonnance de non-entrée en matière est datée du 22 août 2019, alors que c’est une ordonnance pénale qui a été rendue le 10 septembre 2019. On comprend toutefois des motifs exposés par le plaignant dans ses écritures que c’est bien contre l’ordonnance de non-entrée en matière qu’il entend recourir. Il ressort en outre du procès-verbal des opérations que cette ordonnance a été adressée aux parties le 10 septembre 2019, ce qui explique la mention de cette date par le recourant, lequel a au demeurant précisé l’avoir reçue le 12 septembre 2019. Au vu de ce qui précède, le recours, interjeté en temps utile auprès de l’autorité compétente, par la partie plaignante qui a qualité pour recourir (art. 382 al. 1 CPP), est recevable. 2. 2.1 Le recourant ne développe des moyens qu’en lien avec sa plainte portant sur les mauvais traitements qu’aurait infligés son ex- épouse à leur fils. A cet égard, il reproche au Ministère public de n’avoir pas plus investigué afin de déterminer les actes de violence physique et psychologique que D.W.________ aurait subis de la part de sa mère. L’enfant se serait pourtant confié à ce sujet à plusieurs adultes référents. En décidant de ne pas entrer en matière, la Procureure aurait pris parti pour C.W.________. 2.2 Conformément à l'art. 310 al. 1 let. a CPP, le ministère public rend immédiatement – c'est-à-dire sans qu'une instruction soit ouverte (art. 309 al. 1 et 4 CPP ; TF 1B_111/2012 du 5 avril 2012 consid. 2.1 ; Cornu, in : Kuhn/Jeanneret [éd.], Commentaire romand, Code de procédure</w:t>
      </w:r>
    </w:p>
    <w:p>
      <w:r>
        <w:t>- 10 - pénale suisse, Bâle 2011, n. 2 ad art. 310 CPP) – une ordonnance de non- 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En l’espèce, B.W.________ et C.W.________ ont été opposés dans le cadre de procédures de séparation, puis de divorce extrêmement conflictuelles, qui auront duré près de dix ans (de mars 2009 à janvier 2019) et qui ont été centrées sur la garde et la prise en charge de leur unique enfant commun, D.W.________. Dans ce cadre, il a été relevé par les divers intervenants qui se sont penchés sur la situation du couple et de l’enfant, d’une part, que B.W.________ était celui des parents qui était le moins à même de collaborer avec l’autre et, d’autre part, que D.W.________ présentait une forte loyauté envers son père et qu’il éprouvait le besoin, soit de rassurer ce dernier sur cette loyauté, soit de lui montrer qu’il avait</w:t>
      </w:r>
    </w:p>
    <w:p>
      <w:r>
        <w:t>- 11 - bien dit ce qu’il devait dire. Dans ce contexte, l’attitude adoptée par B.W.________ et reprise par son fils doit en effet, comme l’a souligné la Procureure, être appréciée avec la plus grande circonspection. On s’étonne notamment du caractère disproportionné de l’intervention de ce père qui, après que son fils lui aurait confié avoir été giflé par sa mère, s’est adressé à plusieurs reprises au SPJ et à la curatrice de représentation de l’enfant afin de dénoncer « des coups que sa mère lui assénait depuis sa plus tendre enfance » (P. 13/5), alors qu’aucune accusation de ce genre n’avait été portée auparavant. Cet élément semble représentatif du dénigrement constant de B.W.________ à l’égard de la mère de son enfant et ne manque une nouvelle fois pas d’interpeller sur le manque de recul et de prise de conscience dont il fait preuve à l’égard de la situation de son fils et de ce qui paraît nécessaire au bien-être de ce dernier. Il y a lieu d’observer que ni le SPJ, ni la curatrice de représentation, ni les experts pédopsychiatres qui sont intervenus tout au long de la procédure civile n’ont relevé de quelconques soupçons de maltraitance de la mère envers son enfant. Aucun élément du dossier ne permet en réalité d’objectiver les accusations portées par D.W.________ et reprises par son père. Alors que l’enfant aurait confié à son père qu’il avait des traces de doigt sur le visage ensuite des gifles données par sa mère, le recourant n’a rien constaté lorsqu’il est venu chercher son fils le lendemain. On ajoutera que l’inspectrice ayant procédé aux investigations préliminaires a fait remarquer que, C.W.________ étant gauchère, les gifles auraient dû être reçues sur la joue droite alors que l’enfant expliquait les avoir reçues sur la joue gauche, ce qui introduit un élément de doute supplémentaire. Au vu de l’ensemble des éléments qui précèdent, on ne peut que rejoindre le Ministère public lorsqu’il considère que les accusations de B.W.________, intervenues dans le cadre de la procédure d’appel contre le jugement de divorce, doivent être interprétées comme une tentative désespérée et de dernier recours du père de renverser la décision quant à la garde de son fils, avant que celle-ci n’acquiert force de chose jugée. On ajoutera encore qu’on ne voit pas quelle mesure d’instruction pourrait être</w:t>
      </w:r>
    </w:p>
    <w:p>
      <w:r>
        <w:t>- 12 - mise en œuvre afin d’obtenir des preuves d’une maltraitance, étant précisé que l’audition des personnes qui gravitent actuellement autour de l’enfant et auxquelles celui-ci aurait pu raconter ce qu’il s’était passé ne serait pas probante pour les même raisons que celles déjà exposées, à savoir que D.W.________, pris dans un conflit de loyauté, paraît répéter ce que son père souhaite entendre. Il s’ensuit que c’est à bon droit que le Ministère public, qui a rendu une ordonnance particulièrement fouillée et motivée, a refusé d’entrer en matière et d’ouvrir une instruction pénale contre C.W.________ pour voies de fait qualifiées. 3. Il résulte de ce qui précède que le recours, manifestement mal fondé, doit être rejeté sans échange d’écritures (art. 390 al. 2 CPP) et l’ordonnance contestée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22 août 2019 est confirmée. III. Les frais d’arrêt, par 1'210 fr. (mille deux cent dix francs), sont mis à la charge de B.W.________. IV. L’arrêt est exécutoire. Le président : La greffière :</w:t>
      </w:r>
    </w:p>
    <w:p>
      <w:r>
        <w:t>- 13 - Du Le présent arrêt, dont la rédaction a été approuvée à huis clos, est notifié, par l'envoi d'une copie complète, à : - M. B.W.________, - Me Bernard de Chedid, avocat (pour B.W.________), - Me Franck-Olivier Karlen, avocat (pour C.W.________),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