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PE18.024338 vom 28. August 2019</w:t>
      </w:r>
    </w:p>
    <w:p>
      <w:r>
        <w:t>VD Tribunal cantonal, 2019-08-28, FR</w:t>
      </w:r>
    </w:p>
    <w:p>
      <w:r>
        <w:rPr>
          <w:b/>
        </w:rPr>
        <w:t xml:space="preserve">Quelle: </w:t>
      </w:r>
      <w:r>
        <w:t>https://mcp.opencaselaw.ch/entscheid/vd_gerichte_PE18.024338</w:t>
      </w:r>
    </w:p>
    <w:p>
      <w:r>
        <w:t>FR: VD_GERICHTE PE18.024338 du 28 août 2019</w:t>
      </w:r>
    </w:p>
    <w:p>
      <w:r>
        <w:t>IT: VD_GERICHTE PE18.024338 del 28 agosto 2019</w:t>
      </w:r>
    </w:p>
    <w:p>
      <w:pPr>
        <w:pStyle w:val="Heading2"/>
      </w:pPr>
      <w:r>
        <w:t>Erwägungen</w:t>
      </w:r>
    </w:p>
    <w:p>
      <w:r>
        <w:rPr>
          <w:b/>
        </w:rPr>
        <w:t>E. 1</w:t>
      </w:r>
    </w:p>
    <w:p>
      <w:r>
        <w:t>Interjeté en temps utile (art. 396 CPP) contre une ordonnance en matière de remplacement du défenseur d'office (CREP 16 février 2018/127 ; Harari/Aliberti, in : Kuhn/Jeanneret [éd.], Commentaire romand, Code de procédure pénale suisse, Bâle 2011, n. 25 ad art. 134 CPP), par le prévenu, qui a qualité pour recourir (art. 382 CPP ; Ruckstuhl, in : Niggli/Heer/Wiprächtiger [éd.], Basler Kommentar, Schweizerische Strafprozessordnung, Jugendstrafprozess-ordnung, 2e éd., Bâle 2014, n. 5 ad art. 133 CPP et les réf. citées), le recours est recevable.</w:t>
      </w:r>
    </w:p>
    <w:p>
      <w:r>
        <w:rPr>
          <w:b/>
        </w:rPr>
        <w:t>E. 2.1</w:t>
      </w:r>
    </w:p>
    <w:p>
      <w:r>
        <w:t>Le recourant requiert le remplacement de son défenseur d’office, invoquant que la relation de confiance avec Me Joëlle Zimmermann serait gravement perturbée et que son efficacité ne serait pas assurée.</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w:t>
      </w:r>
    </w:p>
    <w:p>
      <w:r>
        <w:t>- 4 -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défenseur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w:t>
      </w:r>
    </w:p>
    <w:p>
      <w:r>
        <w:t>- 5 -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Il appartient au prévenu qui demande le remplacement de son défenseur d’office de rendre vraisemblable les faits sur lesquels il fonde sa demande (CREP 15 août 2018/618 consid. 2.2).</w:t>
      </w:r>
    </w:p>
    <w:p>
      <w:r>
        <w:rPr>
          <w:b/>
        </w:rPr>
        <w:t>E. 2.3</w:t>
      </w:r>
    </w:p>
    <w:p>
      <w:r>
        <w:t>En l’espèce, il n’apparaît pas que Me Joëlle Zimmermann ait commis un quelconque manquement professionnel, ce que le recourant ne prétend par ailleurs pas. En réalité, sa demande repose sur le seul motif qu’il souhaiterait être défendu par un autre avocat, ce qui n’est pas suffisant pour justifier le remplacement de son défenseur d’office. Le recourant se borne ainsi à soutenir que le lien de confiance serait rompu, sans apporter la moindre explication à son sentiment personnel, d’autant que son défenseur d’office conteste que tel soit le cas. Partant, aucun élément objectif et concret ne vient démontrer que la relation de confiance serait gravement perturbée au point de justifier le remplacement du défenseur d’office du recourant.</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rejeté. II. L’ordonnance du 20 août 2019 est confirmée. III. Les frais d’arrêt, par 550 fr. (cinq cent cinquante francs), sont mis à la charge du recourant. IV. L’arrêt est exécutoire. Le président : La greffière : Du Le présent arrêt, dont la rédaction a été approuvée à huis clos, est notifié, par l'envoi d'une copie complète, à : - Me Joëlle Zimmermann, avocate (pour D.________),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