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PE18.024290 vom 26. April 2019</w:t>
      </w:r>
    </w:p>
    <w:p>
      <w:r>
        <w:t>VD Tribunal cantonal, 2019-04-26, FR</w:t>
      </w:r>
    </w:p>
    <w:p>
      <w:r>
        <w:rPr>
          <w:b/>
        </w:rPr>
        <w:t xml:space="preserve">Quelle: </w:t>
      </w:r>
      <w:r>
        <w:t>https://mcp.opencaselaw.ch/entscheid/vd_gerichte_PE18.024290</w:t>
      </w:r>
    </w:p>
    <w:p>
      <w:r>
        <w:t>FR: VD_GERICHTE PE18.024290 du 26 avril 2019</w:t>
      </w:r>
    </w:p>
    <w:p>
      <w:r>
        <w:t>IT: VD_GERICHTE PE18.024290 del 26 aprile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w:t>
      </w:r>
    </w:p>
    <w:p>
      <w:r>
        <w:t>- 4 - [Loi vaudoise d’organisation judiciaire du 12 décembre 1979 ; BLV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la jurisprudence, l'art. 310 CPP doit être appliqué conformément à l'adage « in dubio pro duriore » (TF 6B_1202/2018 du 11 janvier 2019 consid. 2.1 et les réf. citées).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w:t>
      </w:r>
    </w:p>
    <w:p>
      <w:r>
        <w:rPr>
          <w:b/>
        </w:rPr>
        <w:t>E. 3</w:t>
      </w:r>
    </w:p>
    <w:p>
      <w:r>
        <w:t>- 5 -</w:t>
      </w:r>
    </w:p>
    <w:p>
      <w:r>
        <w:rPr>
          <w:b/>
        </w:rPr>
        <w:t>E. 3.1</w:t>
      </w:r>
    </w:p>
    <w:p>
      <w:r>
        <w:t>Se plaignant d’une appréciation arbitraire des faits, la recourante fait valoir que l’ordonnance litigieuse ne serait fondée que sur de simples allégations. Elle ne conteste pas qu’un conflit l’oppose à ses voisins depuis plusieurs années, mais soutient qu’aucun élément au dossier ne permettrait de retenir que les propos tenus à son sujet auprès de la gérance Z.________ seraient vrais, le Ministère public n’ayant procédé à aucune mesure d’instruction. Ces propos porteraient en outre atteinte à sa réputation dans la mesure où son bailleur semblerait envisager de ne pas reconduire leur contrat pour ce motif.</w:t>
      </w:r>
    </w:p>
    <w:p>
      <w:r>
        <w:rPr>
          <w:b/>
        </w:rPr>
        <w:t>E. 3.2</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w:t>
      </w:r>
    </w:p>
    <w:p>
      <w:r>
        <w:t>- 6 - prévenu doit, dans les circonstances d'espèce, lui attribuer (ATF 137 IV 313 consid. 2.1.3).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Les deux dispositions précitées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(TF 6B_676/2017 du 15 décembre 2017 consid. 3.1 et les références citées). Tant la diffamation que la calomnie sont des infractions intentionnelles (Corboz, Les infractions en droit suisse, 3e éd., vol. I, Berne 2010, n. 48 ad art. 173 CP et n. 11 ad art. 174 CP), la seconde se distinguant de la première en ce sens qu'un élément subjectif supplémentaire doit être réalisé, à savoir que l'auteur sait – le dol éventuel n'étant pas suffisant – que le fait qu'il allègue est faux (ATF 136 IV 170 consid. 2.1 ; TF 6B_676/2017 précité consid. 3.1 ; Corboz, op. cit., n. 11 ad art. 174 CP ; Favre/Pellet/Stoudmann, Code pénal annoté, 3e éd., Lausanne 2011, n. 1.1 ad art. 174 CP).</w:t>
      </w:r>
    </w:p>
    <w:p>
      <w:r>
        <w:t>- 7 -</w:t>
      </w:r>
    </w:p>
    <w:p>
      <w:r>
        <w:rPr>
          <w:b/>
        </w:rPr>
        <w:t>E. 3.3</w:t>
      </w:r>
    </w:p>
    <w:p>
      <w:r>
        <w:t>En l’espèce, la Procureure n’a pas retenu que les propos litigieux étaient vrais, mais que leurs auteurs avaient des raisons sérieuses de les tenir de bonne foi pour vrais. Ils avaient en outre fait part de leur mécontentement non dans le but de dire du mal de la recourante mais afin que celle-ci cesse d’agir de manière inadéquate, ce qui nuisait à leurs affaires. La recourante ne développe aucun argument à l’encontre de cette appréciation qui retient que les intéressés peuvent se prévaloir de la preuve libératoire prévue à l’art. 173 ch. 2, 2e phrase, CP. Or, cette appréciation, dûment motivée par une énumération complète et convaincante d’éléments au dossier auxquels il peut être renvoyé (cf. art. 82 al. 4 CPP), ne prête pas le flanc à la critique. Cela étant, les propos litigieux ne sont pas attentatoires à l'honneur de la recourante. Le courrier de la gérance Z.________ du 14 août 2018, qui constitue une protestation écrite du bailleur au sens de l’art. 257f al. 3 CO (Code des obligations, loi fédérale complétant le Code civil suisse du 30 mars 1911 ; RS 220), était destiné à signaler à l’intéressée que ses voisins considéraient qu’elle manquait d’égard envers eux. Or, les comportements incriminés (irrespect, écarts de langage, invectives heurtant la sensibilité, irruption dans les locaux faisant peur à la clientèle) ne peuvent pas être considérés comme suffisants pour exposer la recourante au mépris en sa qualité d’être humain au sens de la jurisprudence précitée. Quant au fait que le bailleur de la recourante envisagerait de ne pas reconduire son bail en raison des doléances de ses voisins, il n'est en rien déterminant dans l'appréciation du caractère attentatoire à l'honneur des propos litigieux. Compte tenu de ce qui précède, les éléments constitutifs d’une infraction contre l’honneur au sens des art. 173 ou 174 CP n’étant manifestement pas réunis, on ne voit pas que la probabilité d'une condamnation serait égale ou supérieure à celle d’un acquittement. Le Ministère public pouvait donc refuser d’entrer en matière sur la plainte d’Y.________.</w:t>
      </w:r>
    </w:p>
    <w:p>
      <w:r>
        <w:t>- 8 -</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22 février 2019 est confirmée. III. Les frais d’arrêt, par 770 fr. (sept cent septante francs), sont mis à la charge de la recourante. IV. L’arrêt est exécutoire. Le président : La greffière : Du Le présent arrêt, dont la rédaction a été approuvée à huis clos, est notifié, par l'envoi d'une copie complète, à : - Me Véronique Fontana, avocate (pour Y.________), - Ministère public central, et communiqué à : - Mme la Procureure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