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PE18.024225 vom 8. September 2020</w:t>
      </w:r>
    </w:p>
    <w:p>
      <w:r>
        <w:t>VD Tribunal cantonal, 2020-09-08, FR</w:t>
      </w:r>
    </w:p>
    <w:p>
      <w:r>
        <w:rPr>
          <w:b/>
        </w:rPr>
        <w:t xml:space="preserve">Quelle: </w:t>
      </w:r>
      <w:r>
        <w:t>https://mcp.opencaselaw.ch/entscheid/vd_gerichte_PE18.024225</w:t>
      </w:r>
    </w:p>
    <w:p>
      <w:r>
        <w:t>FR: VD_GERICHTE PE18.024225 du 8 septembre 2020</w:t>
      </w:r>
    </w:p>
    <w:p>
      <w:r>
        <w:t>IT: VD_GERICHTE PE18.024225 del 8 settembre 2020</w:t>
      </w:r>
    </w:p>
    <w:p>
      <w:pPr>
        <w:pStyle w:val="Heading2"/>
      </w:pPr>
      <w:r>
        <w:t>Erwägungen</w:t>
      </w:r>
    </w:p>
    <w:p>
      <w:r>
        <w:rPr>
          <w:b/>
        </w:rPr>
        <w:t>E. 6</w:t>
      </w:r>
    </w:p>
    <w:p>
      <w:r>
        <w:t>D.________ a conclu à la condamnation de Z.________ pour menaces et non pas tentative de menaces, soutenant avoir eu réellement peur, ce qui serait corroboré par le fait d'avoir fait installer des caméras de surveillance dans son magasin.</w:t>
      </w:r>
    </w:p>
    <w:p>
      <w:r>
        <w:rPr>
          <w:b/>
        </w:rPr>
        <w:t>E. 6.1</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w:t>
      </w:r>
    </w:p>
    <w:p>
      <w:r>
        <w:t>- 22 -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3e éd., Berne 2010,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1er octobre 2018 consid. 3.1 ; TF 6B_1009/2014 du 2 avril 2015 consid. 3.1).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6.2</w:t>
      </w:r>
    </w:p>
    <w:p>
      <w:r>
        <w:t>Après avoir agressé physiquement D.________ et avoir été conduite hors du magasin, Z.________ est retournée dans le commerce pour lui dire qu’elle allait « revenir s’occuper de son cas ». L'altercation du</w:t>
      </w:r>
    </w:p>
    <w:p>
      <w:r>
        <w:t>- 23 - 22 décembre 2018 a été violente et a nécessité l’intervention de la police. D.________ a été physiquement blessée, comme l’atteste le certificat médical produit. D.________ a déposé plainte le jour même. Au vu du contexte de violence dans lequel se sont inscrits les propos de Z.________, on ne peut suivre cette dernière lorsqu’elle affirme qu’elle ne voulait pas menacer D.________ mais souhaitait seulement l’avertir qu’elle allait contacter la commune pour se renseigner sur le droit de cette dernière d’occuper la place qui était devant son commerce. D.________ a expliqué qu'elle connaissait les antécédents pénaux de Z.________, que depuis l’altercation elle n’osait plus entrer seule dans son magasin et qu’elle avait installé des caméras de surveillance. Elle a en outre fait notifier à Z.________ une interdiction de magasin, ce directement après les évènements litigieux, mentionnant notamment les lésions corporelles subies. Au regard de ces éléments, on doit admettre que Z.________ a agi dans le but de faire peur à D.________ et qu’au vu de son comportement agressif, ses paroles ont effectivement effrayé cette dernière. Les éléments constitutifs visés par l’art. 180 al. 1 CP étant réalisés, Z.________ doit être reconnue coupable de menaces. L’appel joint est admis sur ce point.</w:t>
      </w:r>
    </w:p>
    <w:p>
      <w:r>
        <w:rPr>
          <w:b/>
        </w:rPr>
        <w:t>E. 7</w:t>
      </w:r>
    </w:p>
    <w:p>
      <w:r>
        <w:t>D.________ a conclu au paiement par Z.________ d’une indemnité en sa faveur de 2'000 fr. à titre de réparation du dommage matériel et du tort moral subi.</w:t>
      </w:r>
    </w:p>
    <w:p>
      <w:r>
        <w:rPr>
          <w:b/>
        </w:rPr>
        <w:t>E. 7.1</w:t>
      </w:r>
    </w:p>
    <w:p>
      <w:r>
        <w:t>En vertu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w:t>
      </w:r>
    </w:p>
    <w:p>
      <w:r>
        <w:t>- 24 - fautif et le dommage (Werro, in : Thévenoz/Werro [éd.], Commentaire romand, Code des obligations I, 2e éd., Bâle 2012, n. 6 ad 41 CO). 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Parmi les critères à prendre en ligne de compte, figurent notamment la durée et le pourcentage d’une éventuelle incapacité de travail, le diagnostic d’un état de stress post-traumatique,</w:t>
      </w:r>
    </w:p>
    <w:p>
      <w:r>
        <w:t>- 25 - une hospitalisation, un suivi médical, une psychothérapie, la durée du dommage, l’éventuel lien de parenté ou de dépendance avec l’auteur (Stéphanie Converset, Aide aux victimes d’infractions et réparation du dommage, p. 297-300, Genève, éd. Schulthess 2009).</w:t>
      </w:r>
    </w:p>
    <w:p>
      <w:r>
        <w:rPr>
          <w:b/>
        </w:rPr>
        <w:t>E. 7.2</w:t>
      </w:r>
    </w:p>
    <w:p>
      <w:r>
        <w:t>En l’espèce, les premiers juges ont retenu à raison que D.________ ne pouvait prétendre à aucune réparation pour le téléphone portable cassé, celui-ci étant la propriété de sa fille. On retiendra en revanche qu’elle a effectivement subi un dommage concret au vu des lésions corporelles subies, attestées par un certificat médical, et du choc émotionnel ressenti ensuite de l’altercation. Compte tenu de ce qui précède, il convient d’allouer à D.________ un montant de 1'000 fr. à titre d’indemnité pour le tort moral subi, montant qui correspond d’ailleurs aux conclusions civiles prises lorsqu’elle a déposé plainte le 22 décembre 2018. L’appel joint doit être partiellement admis sur ce point.</w:t>
      </w:r>
    </w:p>
    <w:p>
      <w:r>
        <w:rPr>
          <w:b/>
        </w:rPr>
        <w:t>E. 8</w:t>
      </w:r>
    </w:p>
    <w:p>
      <w:r>
        <w:t>Z.________ conteste les peines prononcées, au motif que sa culpabilité ne serait pas établie.</w:t>
      </w:r>
    </w:p>
    <w:p>
      <w:r>
        <w:rPr>
          <w:b/>
        </w:rPr>
        <w:t>E. 8.1.1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w:t>
      </w:r>
    </w:p>
    <w:p>
      <w:r>
        <w:t>- 26 -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w:t>
      </w:r>
    </w:p>
    <w:p>
      <w:r>
        <w:rPr>
          <w:b/>
        </w:rPr>
        <w:t>E. 8.1.3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w:t>
      </w:r>
    </w:p>
    <w:p>
      <w:r>
        <w:t>- 27 -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Il résulte de la place de l'art. 42 al. 4 CP dans la loi que la peine privative de liberté ou la peine pécuniaire assorties du sursis ont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de la peine principale. Des exceptions sont possibles en cas de faible importance pour éviter que la peine cumulée n'ait qu'une portée symbolique (ATF 138 IV 188 consid. 3.4.4). L'amende peut être assortie d'une peine privative de liberté de substitution, le taux de conversion "standard" étant de 100 fr. pour un jour de privation de liberté (cf. Dupuis et alii, Petit Commentaire du Code pénal, 2e éd., Bâle 2017, n. 9 ad art. 106 CP).</w:t>
      </w:r>
    </w:p>
    <w:p>
      <w:r>
        <w:rPr>
          <w:b/>
        </w:rPr>
        <w:t>E. 8.2</w:t>
      </w:r>
    </w:p>
    <w:p>
      <w:r>
        <w:t>En l’espèce, Z.________ est reconnue coupable de lésions corporelles simples et de menaces. La culpabilité de Z.________ n’est pas négligeable. Elle persiste à minimiser et à contester les actes qui lui sont reprochés. Elle n’a jamais prononcé la moindre excuse vis-à-vis de la plaignante et n’a pas pris conscience de l’inadéquation de son comportement. Elle se pose en victime. Les antécédents pénaux sont retenus à charge. Les infractions sont en concours. L’infraction la plus grave, soit les lésions corporelles simples, doit être sanctionnée de 40</w:t>
      </w:r>
    </w:p>
    <w:p>
      <w:r>
        <w:t>- 28 - jours-amende. Par l’effet du concours, et pour sanctionner les menaces, on ajoutera 20 jours-amende. Partant, la peine pécuniaire de 60 jours- amende prononcée par le premier juge peut être confirmée. Le délai d’épreuve fixé à trois ans n’est pas contesté en soi et peut également être confirmé. C’est en outre à raison que le premier juge a infligé à Z.________ une amende à titre de sanction immédiate, l'intéressée bénéficiant d'un sursis alors qu'elle a des antécédents, qu'elle nie les faits et peine à l'évidence à s'amender. Le montant de l’amende fixé à 300 fr. par le premier juge peut être confirmé. L’appel, mal fondé, est rejeté sur ce point également.</w:t>
      </w:r>
    </w:p>
    <w:p>
      <w:r>
        <w:rPr>
          <w:b/>
        </w:rPr>
        <w:t>E. 9</w:t>
      </w:r>
    </w:p>
    <w:p>
      <w:r>
        <w:t>En définitive, l’appel de Z.________ est rejeté, l’appel joint de D.________ est partiellement admis et le jugement attaqué réformé aux chiffres II et VI de son dispositif dans le sens des considérants. D.________ obtient partiellement gain de cause puisque Z.________ est reconnue coupable de menaces et non de tentative de menaces, d’une part, et qu’elle obtient une indemnité de 1'000 fr. à titre de tort moral, d’autre part. Elle a dès lors droit à une indemnité pour les dépenses occasionnées par l’exercice raisonnable de ses droits pour la procédure d’appel. Son défenseur de choix a produit une liste d’opérations dans laquelle il indique avoir consacré 12 heures de travail à ce mandat, ce qui peut être admis (P. 73). On ajoutera 2 heures supplémentaires pour tenir compte de l’audience d’appel. C’est ainsi un mandat de 14 heures qui doit être admis. Au tarif horaire de 160 francs qui s’applique aux avocats-stagiaires (cf. 26a al. 3 TFIP [Tarif des frais de procédure et indemnités en matière pénale du 28 septembre 2010 ; BLV 312.03.1]), l’indemnité qui sera allouée à D.________ être arrêtée à 2'240 fr., plus un montant correspondant aux débours, par 44 fr. 80, ainsi qu’une vacation d’avocat-stagiaire de 80 fr., et la TVA sur le tout, par 182 fr. 10, soit à un montant total de 2'546 fr. 90. Cette indemnité sera mise à la charge de Z.________.</w:t>
      </w:r>
    </w:p>
    <w:p>
      <w:r>
        <w:t>- 29 - Me Grégoire Rey, défenseur d’office de Z.________, a produit une liste d’opérations à l’audience d’appel, faisant état de 49h05 de travail effectué entre le 14 février 2020 et le 2 mars 2021 (P. 74). On ne tiendra toutefois compte que des opérations postérieures au jugement entrepris, étant précisé qu’elles ont été assumées par un avocat-stagiaire. On retiendra ainsi 2h30 pour la rédaction de l’annonce d’appel et de la déclaration d’appel qui n’est pas motivée, 3h pour la préparation de l’audience d’appel, 2h pour l’audience d’appel et enfin 30 minutes pour les opérations post-audience. C’est ainsi un mandat de 10 heures qui doit être admis au tarif horaire de 110 fr. appliqué pour un avocat-stagiaire. L’indemnité qui sera allouée à Me Rey s’élève ainsi à 1'100 fr. d’honoraires, plus une vacation d’avocat-stagiaire de 80 fr., des débours forfaitaire de 22 fr. et la TVA sur le tout par 92 fr. 55, soit un total de 1'294 fr. 55. Vu l’issue de la cause, les frais de la procédure d’appel, comprenant l'émolument par 3'010 fr. (art. 21 al. 1 et 2 TFIP), ainsi que l’indemnité de défenseur d’office de Z.________, par 1'294 fr. 55, soit au total 4’304 fr. 55, seront mis à la charge de cette dernière qui voit son appel intégralement rejeté. Z.________ ne sera tenue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