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PE18.024058 vom 5. April 2019</w:t>
      </w:r>
    </w:p>
    <w:p>
      <w:r>
        <w:t>VD Tribunal cantonal, 2019-04-05, FR</w:t>
      </w:r>
    </w:p>
    <w:p>
      <w:r>
        <w:rPr>
          <w:b/>
        </w:rPr>
        <w:t xml:space="preserve">Quelle: </w:t>
      </w:r>
      <w:r>
        <w:t>https://mcp.opencaselaw.ch/entscheid/vd_gerichte_PE18.024058</w:t>
      </w:r>
    </w:p>
    <w:p>
      <w:r>
        <w:t>FR: VD_GERICHTE PE18.024058 du 5 avril 2019</w:t>
      </w:r>
    </w:p>
    <w:p>
      <w:r>
        <w:t>IT: VD_GERICHTE PE18.024058 del 5 aprile 2019</w:t>
      </w:r>
    </w:p>
    <w:p>
      <w:pPr>
        <w:pStyle w:val="Heading2"/>
      </w:pPr>
      <w:r>
        <w:t>Erwägungen</w:t>
      </w:r>
    </w:p>
    <w:p>
      <w:r>
        <w:rPr>
          <w:b/>
        </w:rPr>
        <w:t>E. 1.1</w:t>
      </w:r>
    </w:p>
    <w:p>
      <w:r>
        <w:t>Interjeté dans le délai légal, auprès de l’autorité compétente, par le prévenu qui a la qualité pour recourir (art. 382 al. 1 CPP), le recours est recevable en tant qu’il concerne la mise à sa charge des frais de la procédure (CREP 9 octobre 2018/791 consid. 1).</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la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entreprise, à savoir les frais de procédure mis à la charge du recourant, pour un montant de 600 francs. Le recours relève donc de la compétence d'un</w:t>
      </w:r>
    </w:p>
    <w:p>
      <w:r>
        <w:t>- 4 - membre de la Chambre des recours pénale en tant que juge unique (CREP 8 octobre 2018/789; CREP 21 septembre 2018/737).</w:t>
      </w:r>
    </w:p>
    <w:p>
      <w:r>
        <w:rPr>
          <w:b/>
        </w:rPr>
        <w:t>E. 2.1</w:t>
      </w:r>
    </w:p>
    <w:p>
      <w:r>
        <w:t>Le recourant nie tout comportement civilement illicite susceptible de justifier la mise à sa charge des frais.</w:t>
      </w:r>
    </w:p>
    <w:p>
      <w:r>
        <w:rPr>
          <w:b/>
        </w:rPr>
        <w:t>E. 2.2.1</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119 Ia 332 consid. 1b; ATF 116 Ia 162, JdT 1992 IV 52; TF 6B_1115/2016 du 25 juillet 2017 consid. 2.1).</w:t>
      </w:r>
    </w:p>
    <w:p>
      <w:r>
        <w:rPr>
          <w:b/>
        </w:rPr>
        <w:t>E. 2.2.2</w:t>
      </w:r>
    </w:p>
    <w:p>
      <w:r>
        <w:t>Les voies de fait, réprimées par l’art. 126 CP, se définissent comme des atteintes physiques qui excèdent ce qui est socialement</w:t>
      </w:r>
    </w:p>
    <w:p>
      <w:r>
        <w:t>- 5 - toléré et qui ne causent ni lésions corporelles, ni dommage à la santé. Une telle atteinte peut exister même si elle n’a causé aucune douleur physique (ATF 119 IV 25 consid. 2a; ATF 117 IV 14 consid. 2a). Aux termes de l'art. 126 al. 2 CP, la poursuite aura lieu d’office si l’auteur a agi à réitérées reprises contre son conjoint durant le mariage ou dans l’année qui a suivi le divorce (let. b). Agir à réitérées reprises au sens de l'art. 126 al. 2 CP signifie agir plusieurs fois sur la même victime d'une manière qui dénote une habitude (ATF 134 IV 191 consid. 1). La jurisprudence a admis que cette condition était réalisée dans un cas où l'auteur a frappé des enfants (cf. art. 126 al. 2 let. a CP), sous le prétexte de les éduquer, une dizaine de fois en l'espèce de trois ans (ATF 129 IV 222 s. consid. 3.2); deux fois ne suffiraient pas (cf. Corboz, Les infractions en droit suisse, 3e éd., vol. I, Berne 2010, n. 22 ad 126 CP, p.158, et les réf. cit.).</w:t>
      </w:r>
    </w:p>
    <w:p>
      <w:r>
        <w:rPr>
          <w:b/>
        </w:rPr>
        <w:t>E. 2.3</w:t>
      </w:r>
    </w:p>
    <w:p>
      <w:r>
        <w:t>En l’occurrence, B.________ a retiré la plainte qu’elle avait déposée, prétextant soudainement qu’elle n’avait pas compris ce qu’elle avait signé et que son mari n’avait rien fait. Un tel revirement laisse perplexe et la version du prévenu, qui soutient que son épouse aurait décrit des évènements imaginaires parce qu’elle serait jalouse, ne convainc pas. En outre, il ne fait aucun doute que G.________ a provoqué l'ouverture de la procédure par un comportement fautif en portant atteinte aux droits de la personnalité de son épouse, de sorte que c’est à bon droit que le Procureur a mis les frais de la procédure à sa charge en application de l'art. 426 al. 2 CPP. Il ressort en effet du dossier, en particulier de la pièce 9 (lot de photographies) et du rapport de police, que le recourant a lancé un verre sur son épouse et a mis une chaise autour de la tête de celle-ci de manière relativement violente.</w:t>
      </w:r>
    </w:p>
    <w:p>
      <w:r>
        <w:rPr>
          <w:b/>
        </w:rPr>
        <w:t>E. 3</w:t>
      </w:r>
    </w:p>
    <w:p>
      <w:r>
        <w:t>En définitive, le recours, manifestement mal fondé, doit être rejeté sans échange d’écritures (art. 390 al. 2 CPP) et l’ordonnance attaquée confirmée</w:t>
      </w:r>
    </w:p>
    <w:p>
      <w:r>
        <w:t>- 6 - Les frais de la procédure de recours, constitués du seul émolument d’arrêt, par 540 fr. (art. 20 al. 1 TFIP [Tarif des frais judiciaires de procédure et indemnités en matière pénale du 28 septembre 2010 ; RSV 312.03.1]), seront mis à la charge du recourant, qui succombe (art. 428 al. 1 CPP). Par ces motifs, le juge unique prononce : I. Le recours est rejeté. II. Le chiffre III du dispositif de l’ordonnance du 27 février 2019 est confirmé. III. Les frais d’arrêt, par 540 fr. (cinq cent quarante francs), sont mis à la charge de G.________. IV. L’arrêt est exécutoire. Le juge unique : La greffière : Du Le présent arrêt, dont la rédaction a été approuvée à huis clos, est notifié, par l'envoi d'une copie complète, à : - M. G.________,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