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PE18.024022 vom 15. Juli 2020</w:t>
      </w:r>
    </w:p>
    <w:p>
      <w:r>
        <w:t>VD Tribunal cantonal, 2020-07-15, FR</w:t>
      </w:r>
    </w:p>
    <w:p>
      <w:r>
        <w:rPr>
          <w:b/>
        </w:rPr>
        <w:t xml:space="preserve">Quelle: </w:t>
      </w:r>
      <w:r>
        <w:t>https://mcp.opencaselaw.ch/entscheid/vd_gerichte_PE18.024022</w:t>
      </w:r>
    </w:p>
    <w:p>
      <w:r>
        <w:t>FR: VD_GERICHTE PE18.024022 du 15 juillet 2020</w:t>
      </w:r>
    </w:p>
    <w:p>
      <w:r>
        <w:t>IT: VD_GERICHTE PE18.024022 del 15 luglio 2020</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w:t>
      </w:r>
    </w:p>
    <w:p>
      <w:r>
        <w:t>- 20 -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2eéd., Bâle 2014, n. 1 ad art. 398 CPP).</w:t>
      </w:r>
    </w:p>
    <w:p>
      <w:r>
        <w:rPr>
          <w:b/>
        </w:rPr>
        <w:t>E. 2.1</w:t>
      </w:r>
    </w:p>
    <w:p>
      <w:r>
        <w:t>dans la partie « En fait »), il soutient que les premiers juges auraient eu un parti pris en faveur de la plaignante et que la plainte serait tardive, car elle serait intervenue des mois après les faits. Il fait valoir également que la plaignante se serait contredite au sujet des dates, qu’il paraît invraisemblable que les parents de celle-ci n’aient rien entendu lors des faits litigieux et qu’elle aurait pu appeler au secours. Enfin, le fait qu’elle ait continué à le « fréquenter » après l’agression alléguée et alors qu’elle s’était contredite au sujet de la pratique de la sodomie en couple aurait dû engendrer un doute suffisant pour acquitter le prévenu.</w:t>
      </w:r>
    </w:p>
    <w:p>
      <w:r>
        <w:rPr>
          <w:b/>
        </w:rPr>
        <w:t>E. 2.2</w:t>
      </w:r>
    </w:p>
    <w:p>
      <w:r>
        <w:t>Entre août 2018 et début septembre 2018, au domicile de B.________ à Yverdon-les-Bains, alors que D.________ se trouvait avec elle sur le lit de cette dernière pour l’aider à réviser ses cours, il a contraint la jeune femme à lui prodiguer une fellation. Pour ce faire, il a baissé son propre pantalon et son caleçon, avant de venir sur B.________. Celle-ci lui a dit plusieurs fois qu’elle ne voulait pas. Toutefois, le prévenu lui a bloqué les bras avec ses jambes afin de l’empêcher de bouger et lui a introduit son sexe dans la bouche. Il a ensuite fait quelques va-et-vient avant de se retirer.</w:t>
      </w:r>
    </w:p>
    <w:p>
      <w:r>
        <w:t>- 18 -</w:t>
      </w:r>
    </w:p>
    <w:p>
      <w:r>
        <w:rPr>
          <w:b/>
        </w:rPr>
        <w:t>E. 2.3</w:t>
      </w:r>
    </w:p>
    <w:p>
      <w:r>
        <w:t>Le matin du 9 septembre 2018, au domicile de la sœur de B.________ à Yverdon-les-Bains, après que le couple a eu un rapport sexuel consenti durant la nuit, D.________ s’est placé à genoux entre les jambes de sa compagne, qui était couchée sur le dos, et a commencé à lui enlever le legging et la culotte qu’elle portait pour la nuit, sans rien dire. B.________ lui a dit non et qu’elle n’en avait pas envie. Elle a tenté de retenir son legging mais D.________ est quand même parvenu à le lui enlever, de même que sa culotte. Il l’a immédiatement pénétrée. B.________ a tenté de le repousser en appuyant sur ses hanches, mais D.________ lui saisissait les mains à chaque fois. Il lui a également dit « ta gueule ». Finalement, constatant qu’elle ne parvenait pas à résister, B.________ s’est laissé faire et D.________ a éjaculé en elle avant de se retirer.</w:t>
      </w:r>
    </w:p>
    <w:p>
      <w:r>
        <w:rPr>
          <w:b/>
        </w:rPr>
        <w:t>E. 2.4</w:t>
      </w:r>
    </w:p>
    <w:p>
      <w:r>
        <w:t>Entre août 2018 et le 7 décembre 2018, D.________ a menacé à plusieurs reprises B.________ de se suicider si elle déposait plainte, suscitant la crainte de cette dernière.</w:t>
      </w:r>
    </w:p>
    <w:p>
      <w:r>
        <w:rPr>
          <w:b/>
        </w:rPr>
        <w:t>E. 2.5</w:t>
      </w:r>
    </w:p>
    <w:p>
      <w:r>
        <w:t>Entre le 8 septembre 2018 et fin septembre 2018, D.________ a téléphoné à B.________ et lui a dit qu’il pourrait la tuer et se tuer ensuite, provoquant la crainte de cette dernière.</w:t>
      </w:r>
    </w:p>
    <w:p>
      <w:r>
        <w:rPr>
          <w:b/>
        </w:rPr>
        <w:t>E. 2.6</w:t>
      </w:r>
    </w:p>
    <w:p>
      <w:r>
        <w:t>Entre le 7 septembre 2018 (les faits antérieurs n’étant pas couverts par la plainte), et le 7 décembre 2018, D.________ a envoyé de très nombreux messages à B.________ via différents canaux (e-mail, WhatsApp, Snapchat ou autres) alors qu’elle lui avait expressément demandé de la laisser tranquille. B.________ a déposé plainte le 7 décembre 2018 pour l’ensemble des faits susmentionnés (ch. 2.1 à 2.6).</w:t>
      </w:r>
    </w:p>
    <w:p>
      <w:r>
        <w:rPr>
          <w:b/>
        </w:rPr>
        <w:t>E. 2.7</w:t>
      </w:r>
    </w:p>
    <w:p>
      <w:r>
        <w:t>Entre le 27 janvier 2019 et le 11 mars 2019, D.________ a menacé par messages à plusieurs reprises B.________ de se suicider ou de s’en prendre à elle si elle ne retirait pas sa plainte, créant de la crainte chez cette dernière.</w:t>
      </w:r>
    </w:p>
    <w:p>
      <w:r>
        <w:t>- 19 -</w:t>
      </w:r>
    </w:p>
    <w:p>
      <w:r>
        <w:rPr>
          <w:b/>
        </w:rPr>
        <w:t>E. 2.8</w:t>
      </w:r>
    </w:p>
    <w:p>
      <w:r>
        <w:t>En janvier et février 2020, depuis la prison de La Croisée, D.________ a demandé à plusieurs personnes, notamment par un courrier qu’il avait confié à un codétenu qui allait être libéré, ainsi que par téléphone et par d’autres biais, de faire des pressions sur des témoins qui avaient été entendus en procédure afin de leur faire modifier leurs déclarations, ainsi que de menacer B.________ afin qu’elle retire sa plainte. Suite à cela, la famille de D.________ a notamment pris contact avec le compagnon de P.________ afin que cette dernière modifie son témoignage, toutefois sans que cette dernière ne cède à la pression. Un inconnu a également téléphoné à B.________ et l’a menacée de mort, ainsi que sa famille, si elle ne retirait pas sa plainte. B.________ n’a pas non plus cédé aux pressions et n’a pas retiré sa plainte. B.________ a déposé plainte le 10 mars 2020. En d roit : 1. Interjetés dans les formes et délais légaux (art. 399 CPP [Code de procédure pénale suisse du 5 octobre 2007 ; RS 312.0]), par des parties ayant qualité pour recourir contre le jugement d’un tribunal de première instance qui a clos la procédure (art. 398 al. 1 CPP), l’appel de D.________ et l’appel joint du Ministère public sont recevables.</w:t>
      </w:r>
    </w:p>
    <w:p>
      <w:r>
        <w:rPr>
          <w:b/>
        </w:rPr>
        <w:t>E. 3.1</w:t>
      </w:r>
    </w:p>
    <w:p>
      <w:r>
        <w:t>L’appelant requiert une série de mesures d’instruction, soit l’extraction des données de son iPhone 8 non restitué, l’extraction des données des téléphones de B.________, la confrontation du compagnon de P.________ avec le père du prévenu et son fils [...], « l’analyse scientifique d’authenticité » des masques d’écran produits en première instance (P. 105) de nature à démontrer que la plaignante a reconnu la fausseté de ses accusations, l’audition des parents de B.________, l’inspection locale ou « l’examen technique » de la chambre de B.________ où se seraient déroulés les faits décrits sous chiffre 1 de l’acte d’accusation (cf. supra consid. 2.1 dans la partie « En fait »), ainsi que l’expertise de crédibilité de cette dernière.</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w:t>
      </w:r>
    </w:p>
    <w:p>
      <w:r>
        <w:t>- 21 -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En l’espèce, à l’exception des réquisitions concernant l’extraction des données du téléphone de la plaignante (P. 103/1) et l’expertise de crédibilité de cette dernière (P. 56), aucune des mesures d’instruction n’a été formulée avant la condamnation du prévenu en première instance et la présentation de ces requêtes pour la première fois en deuxième instance apparaît ainsi contraire aux règles de la bonne foi en procédure. De toute manière, compte tenu de l’ensemble des preuves déjà administrées et examinées par les premiers juges, ces réquisitions apparaissent également inutiles, par appréciation anticipée des preuves. En particulier, on ne voit pas en quoi l’inspection locale de la chambre de B.________ et l’audition de ses parents – en relation avec les faits survenus dans la nuit du 2 au 3 juillet 2018 – seraient pertinentes, dès lors qu’il n’est pas contesté que ceux-ci dormaient au moment des faits en question (PV aud. 1, R. 8 ; PV aud. 2, R. 11) et aucun élément ne permet de retenir qu’ils auraient entendu (ou pu entendre) « quelque chose de suspect » comme le prétend l’appelant. En outre, la plaignante a déclaré que le prévenu lui avait mis la main sur la bouche pour l’empêcher de crier. Quant à la confrontation du compagnon de P.________ avec le père du prévenu et son fils [...], elle n’est pas nécessaire, puisqu’aux débats de première instance, le prévenu a déclaré « [s]’excuser auprès du copain de P.________ au nom de [s]a famille » (jugt, p. 21 in fine), reconnaissant ainsi implicitement que celui-ci avait bel et bien été contacté par sa famille.</w:t>
      </w:r>
    </w:p>
    <w:p>
      <w:r>
        <w:t>- 22 - La production du rapport technique du 24 novembre 2020 (P. 204/1) n’est pas non plus déterminante (cf. consid. 4.6.2 infra). Quant au complément d’expertise requis, force est de constater qu’en cours d’enquête, le prévenu n’a pas donné suite à la réquisition de production de l’original des captures d’écran, pour le motif qu’il ne voulait pas « impliquer d’autres personnes dont le téléphone avait servi à prendre une photo de l’écran », comme il l’a expliqué à l’audience d’appel (PV d’audience du 25 novembre 2020, p. 3 ; cf. ég. PV aud. 10, lignes 65 à 68). Il est donc mal venu de requérir, à ce stade, un complément d’expertise sur ce point. Enfin, les seules réquisitions formulées durant l’enquête concernant l’extraction des données du téléphone de la plaignante (P. 103/1) et l’expertise de crédibilité de cette dernière (P. 56) n’ont pas été renouvelées aux débats de première instance. L’extraction des données n’est de toute façon pas nécessaire, compte tenu des nombreux éléments déjà examinés par les premiers juges au sujet des messages téléphoniques ou écrits. Quant à l’expertise de crédibilité requise, on relèvera que B.________ est majeure et manifestement capable de discernement, ni la prise du médicament Concerta ni les excès de consommation d’alcool de la plaignante mis en évidence par l’appelant – en relation d’ailleurs avec des faits autres que ceux litigieux – ne constituant des indices sérieux de troubles psychiques pouvant influencer les déclarations de la jeune femme, comme relevé d’ailleurs à juste titre par la procureure (P. 57). En définitive, l’ensemble des réquisitions doit être rejeté.</w:t>
      </w:r>
    </w:p>
    <w:p>
      <w:r>
        <w:rPr>
          <w:b/>
        </w:rPr>
        <w:t>E. 4</w:t>
      </w:r>
    </w:p>
    <w:p>
      <w:r>
        <w:t>Le prévenu conteste sa condamnation pour viol et contrainte sexuelle.</w:t>
      </w:r>
    </w:p>
    <w:p>
      <w:r>
        <w:rPr>
          <w:b/>
        </w:rPr>
        <w:t>E. 4.1</w:t>
      </w:r>
    </w:p>
    <w:p>
      <w:r>
        <w:t>- 23 -</w:t>
      </w:r>
    </w:p>
    <w:p>
      <w:r>
        <w:rPr>
          <w:b/>
        </w:rPr>
        <w:t>E. 4.1.1</w:t>
      </w:r>
    </w:p>
    <w:p>
      <w:r>
        <w:t>S’agissant du cas n° 1 de l’acte d’accusation (cf. supra consid.</w:t>
      </w:r>
    </w:p>
    <w:p>
      <w:r>
        <w:rPr>
          <w:b/>
        </w:rPr>
        <w:t>E. 4.1.2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w:t>
      </w:r>
    </w:p>
    <w:p>
      <w:r>
        <w:t>- 24 -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4.1.3</w:t>
      </w:r>
    </w:p>
    <w:p>
      <w:r>
        <w:t>En l’espèce, les premiers juges ont forgé leur conviction en appréciant l’ensemble des éléments probatoires concernant les trois cas d’agression sexuelle dénoncés par la plaignante. Ils ont motivé leur conviction en pages 30 à 38 du jugement attaqué. En substance, cette conviction repose sur l’absence d’impossibilité matérielle, dès lors que le prévenu a reconnu qu’il était avec la plaignante les jours, respectivement les nuits en question, sur la cohérence et la sincérité des déclarations de la jeune femme, ainsi que sur l’absence d’exagération et la richesse des détails du récit, corroboré par les émotions et les ressentis exprimés, les sentiments et les réactions attribués au prévenu, ainsi que la restitution des gestes de ce dernier. Les premiers juges se sont également fondés sur un témoignage (celui de P.________) qui corroborait la violence verbale et physique du prévenu à l’encontre de la plaignante et sur un tableau clinique du thérapeute de cette dernière montrant des angoisses réactionnelles, des troubles de l’humeur et du sommeil parlant en faveur d’un trauma. Ils ont en outre examiné en détail les messages WhatsApp échangés entre les parties qui confirment la version de la plaignante. A l’inverse, les déclarations du prévenu ont été considérées comme nettement moins crédibles, en raison de ses mensonges en cours d’enquête et de sa propension à vouloir fausser le déroulement de l’enquête selon ce qui sera examiné ci-après (cf. consid. 5 infra).</w:t>
      </w:r>
    </w:p>
    <w:p>
      <w:r>
        <w:t>- 25 - Cette appréciation doit être confirmée. En réalité, la culpabilité de l’appelant est évidente et les quelques arguments avancés en faveur d’un éventuel doute ne pèsent pas lourd au moment d’apprécier l’ensemble des preuves. Ainsi, le fait de déposer plainte quelques mois après les faits n’a rien d’anormal lorsque les agressions sexuelles interviennent dans le cadre d’une relation amoureuse, comme le fait que la plaignante a encore poursuivi sa relation avec le prévenu après ces événements. Cela l’est d’autant moins si l’on considère le contexte dans lequel cette relation – décrite comme « compliquée » (PV aud. 3, R. 6 ; PV aud. 5, ligne 341) – évoluait, soit l’emprise du prévenu sur la plaignante, la violence verbale et – à tout le moins à une occasion – physique dont il avait auparavant fait preuve envers la jeune femme (PV aud. 3), et le fait que celle-ci avait peur de lui et de ses réactions si elle déposait plainte, en particulier qu’il se suicide (P. 44). A cela s’ajoute qu’elle était encore toujours amoureuse de lui, comme elle l’a admis (PV aud. 5, ligne 212 ; jugt, p. 8). Son amie P.________ l’a d’ailleurs décrite comme étant « perdue dans ses sentiments » (PV aud. 3, R. 6). Il est frappant de constater à cet égard qu’après avoir été contrainte à subir un rapport sexuel (s’agissant des faits du 9 septembre 2018), la plaignante avait de la peine de voir son agresseur pleurer car il s’en voulait (PV aud. 1, R. 10, p. 10 in initio ; cf. ég. PV aud. 3, R. 6, p. 6 in fine). La contradiction initiale au sujet de la date du premier événement a été parfaitement expliquée par les premiers juges et on peut s’y référer (jugt, p. 31). Cette erreur de date – minime (2 juillet 2018 et non 28 juin 2018) – s’explique également par la fréquence des relations sexuelles entre les parties à cette époque, soit deux fois par semaine (PV aud. 1, R. 7). Elle n’est quoi qu’il en soit pas déterminante et n’entache pas la crédibilité de la plaignante. S’agissant de la présence des parents de la plaignante, qui étaient déjà couchés (jugt, p. 6), le fait éventuel qu'ils n’aient rien entendu n’est pas pertinent. La victime a d’ailleurs expliqué que le prévenu lui avait mis la main sur la bouche à plusieurs reprises lorsqu’elle pleurait (PV</w:t>
      </w:r>
    </w:p>
    <w:p>
      <w:r>
        <w:t>- 26 - aud. 1, R. 8). De toute manière, la plaignante a déclaré qu’elle ne voulait pas alerter ses parents à cette occasion (PV aud. 5, lignes 217 à 224). Enfin, l’éventuelle contradiction au sujet de la pratique de la sodomie en couple est mineure, voire inexistante, car la plaignante a précisé, lors de son audition du 7 décembre 2018, que c’était le prévenu qui demandait des rapports anaux, qu’elle ne voulait pas et qu’il l’avait fait une ou deux fois avant juillet 2018, ne respectant pas son refus (PV aud. 1, R. 7). D’ailleurs, le prévenu s’est aussi contredit à ce sujet, expliquant durant l’enquête l’avoir fait pour la première fois en juillet 2018, puis aux débats l’avoir fait à quelques reprises auparavant (jugt, p. 12). En définitive, les objections avancées par l’appelant ne suscitent aucun doute sur la réalisation des faits tels que décrits sous chiffre 1 de l’acte d’accusation (cf. supra consid. 2.1 dans la partie « En fait »).</w:t>
      </w:r>
    </w:p>
    <w:p>
      <w:r>
        <w:rPr>
          <w:b/>
        </w:rPr>
        <w:t>E. 4.2.1</w:t>
      </w:r>
    </w:p>
    <w:p>
      <w:r>
        <w:t>L’appelant conteste également sa condamnation pour contrainte sexuelle dans le cas n° 2 de l’acte d’accusation (cf. supra consid. 2.2 dans la partie « En fait »). Il soutient que le déroulement des faits serait peu crédible et que la plaignante aurait pu éviter la fellation en le mordant ou en tournant la tête.</w:t>
      </w:r>
    </w:p>
    <w:p>
      <w:r>
        <w:rPr>
          <w:b/>
        </w:rPr>
        <w:t>E. 4.2.2</w:t>
      </w:r>
    </w:p>
    <w:p>
      <w:r>
        <w:t>Les principes relatifs à la présomption d’innocence ont été rappelés au considérant 4.1.2 ci-dessus auquel il est renvoyé.</w:t>
      </w:r>
    </w:p>
    <w:p>
      <w:r>
        <w:rPr>
          <w:b/>
        </w:rPr>
        <w:t>E. 4.2.3</w:t>
      </w:r>
    </w:p>
    <w:p>
      <w:r>
        <w:t>L’argumentation de l’appelant est inconsistante. Contrairement à ce qu’il prétend, une fellation forcée lorsque l’auteur se place sur sa victime, caleçon baissé, et lui bloque les bras avec ses jambes, est parfaitement concevable. Le fait que la victime puisse mordre son agresseur ou tourner la tête pour tenter d’éviter la pénétration buccale – ce que la plaignante indique avoir tenté de faire (jugt, p. 8) – ne change rien au caractère illicite de l’acte. De toute manière, les éléments</w:t>
      </w:r>
    </w:p>
    <w:p>
      <w:r>
        <w:t>- 27 - d’appréciation probatoires décrits ci-dessus valent mutandis mutatis pour ce cas également.</w:t>
      </w:r>
    </w:p>
    <w:p>
      <w:r>
        <w:rPr>
          <w:b/>
        </w:rPr>
        <w:t>E. 4.3.1</w:t>
      </w:r>
    </w:p>
    <w:p>
      <w:r>
        <w:t>L’appelant conteste encore sa culpabilité dans le cas n° 3 de l’acte d’accusation (cf. supra consid. 2.3 dans la partie « En fait »), invoquant des contradictions entre la version de la plaignante et celle du témoin P.________.</w:t>
      </w:r>
    </w:p>
    <w:p>
      <w:r>
        <w:rPr>
          <w:b/>
        </w:rPr>
        <w:t>E. 4.3.2</w:t>
      </w:r>
    </w:p>
    <w:p>
      <w:r>
        <w:t>C’est en vain que l’appelant tente de voir des contractions entre des récits que la plaignante et le témoin situent à des dates différentes, puisqu’il n’est pas du tout certain que chacune parle des mêmes faits, étant précisé que, quoi qu’il en soit, la plaignante a bien décrit un rapport sexuel forcé, comme le témoin (PV aud. 3, R. 6, p. 6 in fine). De toute manière, comme déjà dit, cet élément n’est pas de nature à remettre en question la culpabilité de l’appelant pour les agressions sexuelles.</w:t>
      </w:r>
    </w:p>
    <w:p>
      <w:r>
        <w:rPr>
          <w:b/>
        </w:rPr>
        <w:t>E. 4.4.1</w:t>
      </w:r>
    </w:p>
    <w:p>
      <w:r>
        <w:t>L’appelant revient ensuite sur les circonstances de sa mise en détention, qui ne reposerait pas, selon lui, sur des éléments à charge, mais sur une violation de l’interdiction de reprendre contact avec la plaignante.</w:t>
      </w:r>
    </w:p>
    <w:p>
      <w:r>
        <w:rPr>
          <w:b/>
        </w:rPr>
        <w:t>E. 4.4.2</w:t>
      </w:r>
    </w:p>
    <w:p>
      <w:r>
        <w:t>Cela importe peu toutefois, car à supposer vrai, cet élément n’est pas de nature à influer sur le sort de la cause, s’agissant du maintien en détention du prévenu. Celui-ci a d’ailleurs déjà contesté à plusieurs reprises sa mise en détention devant diverses juridictions, en vain. Le moyen est donc mal fondé et doit être rejeté.</w:t>
      </w:r>
    </w:p>
    <w:p>
      <w:r>
        <w:rPr>
          <w:b/>
        </w:rPr>
        <w:t>E. 4.5.1</w:t>
      </w:r>
    </w:p>
    <w:p>
      <w:r>
        <w:t>L’appelant affirme encore que la plaignante prenait un médicament puissant, le Concerta, qui aurait altéré sa conscience – son défenseur invoquant des risques d’hallucination ou d’illusions ainsi que</w:t>
      </w:r>
    </w:p>
    <w:p>
      <w:r>
        <w:t>- 28 - des signes de type paranoïaque – et réduirait considérablement sa crédibilité.</w:t>
      </w:r>
    </w:p>
    <w:p>
      <w:r>
        <w:rPr>
          <w:b/>
        </w:rPr>
        <w:t>E. 4.5.2</w:t>
      </w:r>
    </w:p>
    <w:p>
      <w:r>
        <w:t>L’appelant se réfère à la « liste de signes d’effets secondaires à surveiller » concernant le médicament en question, tels que figurant sur internet, sans toutefois apporter aucun élément concret à l’appui de sa thèse, de sorte qu’il y a lieu, à l’instar des premiers juges (jugt, p. 32), de rejeter l’argument selon lequel il existerait un lien entre la prise de ce médicament et la teneur des accusations de la plaignante.</w:t>
      </w:r>
    </w:p>
    <w:p>
      <w:r>
        <w:rPr>
          <w:b/>
        </w:rPr>
        <w:t>E. 4.6.1</w:t>
      </w:r>
    </w:p>
    <w:p>
      <w:r>
        <w:t>L’appelant revient également sur les captures d’écran de messages provenant prétendument de la plaignante, produites sous pièce 105, qui l’innocenteraient.</w:t>
      </w:r>
    </w:p>
    <w:p>
      <w:r>
        <w:rPr>
          <w:b/>
        </w:rPr>
        <w:t>E. 4.6.2</w:t>
      </w:r>
    </w:p>
    <w:p>
      <w:r>
        <w:t>L’appelant invoque l’audition de la plaignante du 10 janvier 2020 (PV aud. 9), en particulier les lignes 20 à 28. Or, à bien lire ses déclarations, lorsqu’elle affirme ne pas savoir si elle a dit avoir menti à la police (en référence au message « je reconnais que j’aurais pas dû mentir à la police » [P. 105, annexe 10]), la plaignante fait allusion au fait d’avoir dit à la police qu’elle ne reprendrait pas contact avec le prévenu, alors qu’en réalité elle l’a ensuite recontacté (lignes 27 à 29). Elle situe l’éventuel échange de ces messages en février 2019 et admet ne pas se souvenir exactement de leur contenu ni de leur contexte, ce qui est compréhensible, au vu du temps écoulé depuis lors (presque une année) et du nombre important de messages échangés à cette époque-là (cf. P. 26/3). Quant au message « j’avais commencé à mentir donc j’étais obligé après de continuer (…) » (P. 105, annexe 10), elle n’a pas admis en être l’auteur, mais a déclaré « celui-là ne me dit rien » (lignes 43 à 46). Pour le reste, la plaignante a contesté catégoriquement avoir envoyé les messages figurant sur les annexes 12 à 14 de la pièce 108/4, produites par le prévenu à l’appui de sa demande de mise en liberté du 6 janvier 2020 (PV aud. 9, lignes 39 et 40), selon lesquels elle aurait admis que « tout est faux » et qu’elle avait « envie de retirer [s]a plainte ».</w:t>
      </w:r>
    </w:p>
    <w:p>
      <w:r>
        <w:t>- 29 - Ainsi, examinés dans leur contexte et mis en relation avec l’ensemble de l’audition, les propos tenus par la plaignante auxquels se réfère l’appelant ne suffisent pas à remettre en cause l’appréciation – convaincante et pertinente – des premiers juges selon laquelle ces captures d’écran sont dépourvues de la moindre valeur probante (jugt, pp. 36 et 37). Le rapport technique produit en appel par l’appelant (P. 204/1) n’est pas non plus déterminant à cet égard. En effet, si les auteurs de ce rapport indiquent, sous « conclusions », que « la fabrication de l’ensemble des statuts examinés n’est pas raisonnable », ils ajoutent cependant ensuite que « pour répondre plus précisément à la question de l’authenticité, il serait opportun d’effectuer la recherche et l’examen des téléphones qui ont servi à générer les statuts d’intérêt, à les recevoir et à les enregistrer » (p. 13). Cette conclusion est à mettre en relation avec l’indication – figurant en page 12 du rapport – selon laquelle « les noms de fichiers, tout comme les métadonnées, notamment les indications de date et d’heure peuvent être modifiés », de sorte que « l’absence de photographies originales ne permet pas de vérifier l’existence de ces statuts (…) ». Ce rapport ne permet donc pas à lui seul de lever les doutes sérieux qui existent sur la véracité et la provenance des captures d’écran, fondés sur les divers éléments mis en évidence par les premiers juges et auxquels il y lieu de se référer. Mal fondé, ce moyen doit dès lors être rejeté.</w:t>
      </w:r>
    </w:p>
    <w:p>
      <w:r>
        <w:rPr>
          <w:b/>
        </w:rPr>
        <w:t>E. 4.7</w:t>
      </w:r>
    </w:p>
    <w:p>
      <w:r>
        <w:t>Partant, au vu des faits retenus, la condamnation de D.________ pour viol et contrainte sexuelle échappe à la critique et doit donc être confirmée.</w:t>
      </w:r>
    </w:p>
    <w:p>
      <w:r>
        <w:rPr>
          <w:b/>
        </w:rPr>
        <w:t>E. 5.1</w:t>
      </w:r>
    </w:p>
    <w:p>
      <w:r>
        <w:t>L’appelant conteste encore sa condamnation pour instigation à tentative de contrainte et tentative d’instigation à faux témoignage. Il se réfère à la lettre, non datée, de S.________, qui avait été un certain temps</w:t>
      </w:r>
    </w:p>
    <w:p>
      <w:r>
        <w:t>- 30 - son codétenu, lettre produite sous pièce 160 et dont la signature a été légalisée par le notaire [...] (P. 185/2), dans laquelle son auteur déclare « c’est moi qui est [sic] pris ta lettre là sans que tu sois au courant ». Ce document démontrerait ainsi que c’est à tort que les premiers juges auraient écarté sa version selon laquelle son codétenu aurait agi à son insu et que la lettre ne contenait « que des fantasmes » (jugt, p. 18).</w:t>
      </w:r>
    </w:p>
    <w:p>
      <w:r>
        <w:rPr>
          <w:b/>
        </w:rPr>
        <w:t>E. 5.2</w:t>
      </w:r>
    </w:p>
    <w:p>
      <w:r>
        <w:t>La lettre rédigée par le prévenu, à laquelle il est fait référence dans le courrier de S.________, et comportant des instructions pour faire pression sur la plaignante et suborner des témoins – figurant au dossier en original sous pièce 116/1 – a été trouvée en possession de S.________ par le personnel pénitentiaire. Elle est adressée à [...], le frère du prévenu (PV aud. 10, ligne 83), et a été suivie d’effet, malgré sa saisie, puisque la plaignante a bien été menacée (jugt, p. 45 ; PV aud. 11, R. 2) et l’ami du témoin P.________ contacté par la famille du prévenu pour faire modifier ce témoignage (jugt, p. 45). On relèvera, à propos des menaces, que l’appelant a prétendu qu’il ne parlait pas de B.________ dans la lettre mais d’une autre personne dont il a dit ne pas se souvenir le nom, allant jusqu’à soutenir qu’il n’avait personnellement jamais menacé la plaignante (PV aud. 10, lignes 85 à 87), alors que le contraire a clairement été démontré puis finalement admis (cf. cas n° 5 de l’acte d’accusation [consid. 2.5 supra dans la partie « En fait »], non contesté). Il a aussi affirmé que le terme « pute » n’était pas adressé à B.________ mais à une tierce personne dont il ne se rappelait pas (non plus) le nom, avant d’admettre, à l’audience du 14 juillet 2020, que c’était bien de la prénommée qu’il parlait (jugt, p. 18). Au vu de ses mensonges et contradictions, l’appelant n’est pas crédible lorsqu’il nie tout lien avec les menaces proférées à l’encontre de la plaignante. Il ne l’est pas non plus lorsqu’il conteste être à l’origine de la démarche de sa famille auprès du compagnon du témoin P.________, puisqu’il a reconnu – du moins implicitement – le contraire lors de l’audience de première instance en déclarant qu’il souhaitait « [s]’excuser auprès du copain de P.________ au nom de [s]a famille » (jugt, p. 21 in fine). D’ailleurs, comme relevé à juste titre par les premiers juges, on ne voit pas qui d’autre que le prévenu aurait pu informer ses proches</w:t>
      </w:r>
    </w:p>
    <w:p>
      <w:r>
        <w:t>- 31 - au sujet de ce témoin, de son ami et de l’endroit où celui-ci travaillait, et qui d’autre y avait intérêt. Ainsi, tout se recoupe, le contenu de la lettre et les manœuvres entreprises, pour démontrer que le prévenu a bien tenté de contraindre la plaignante à retirer sa plainte et de faire modifier des témoignages. On ne voit pas du reste pour quelle raison S.________ aurait pris cette lettre compromettante à l’insu de son auteur et, dans son témoignage écrit, il ne l’indique d’ailleurs pas. Le contenu de ce document est donc dépourvu de toute valeur probante, même si sa signature a été légalisée par un officier public. Il ressort d’ailleurs du rapport d’investigation du 7 septembre 2020, produit en appel par la procureure (P. 198), que l’adresse de S.________ mentionnée sur ladite déclaration notariée (« [...] ») s’est avérée fausse et que le prénommé ne figure pas dans les bases de données dont dispose la police, le lieu de séjour de cet individu étant inconnu et n’ayant pas pu être déterminé. Par ailleurs, outre le fait qu’on ne sait pas de quels documents le notaire disposait pour légaliser la signature incriminée, ladite légalisation – qui n'a pas d'autre but que de s'assurer que la personne qui a signé le document en question est effectivement l’auteur de la signature – n’exclut pas que cette signature ait été apposée par photomontage et que l’envoi de ce document ait été effectué à la demande du prévenu par une tierce personne dans le but de servir sa cause (jugt, p. 46 in initio ; P. 162 et 175). Ainsi, en définitive, c’est sans violation de la présomption d’innocence que les faits de l’acte d’accusation (cas n° 8) ont été retenus. Partant, la condamnation de D.________ pour instigation à tentative de contrainte et tentative d’instigation à faux témoignage doit être confirmée.</w:t>
      </w:r>
    </w:p>
    <w:p>
      <w:r>
        <w:rPr>
          <w:b/>
        </w:rPr>
        <w:t>E. 6.1</w:t>
      </w:r>
    </w:p>
    <w:p>
      <w:r>
        <w:t>Le prévenu conteste la peine aux motifs qu’il devrait être libéré d’une partie des faits et partant des accusations de viol, contrainte</w:t>
      </w:r>
    </w:p>
    <w:p>
      <w:r>
        <w:t>- 32 - sexuelle, instigation à tentative de contrainte et tentative d’instigation à faux témoignage, mais ne formule aucun moyen spécifique en lien avec la fixation de la peine opérée par les premiers juges. De son côté, le Ministère public fait valoir que la peine privative de liberté prononcée à l’encontre du prévenu serait insuffisante, essentiellement en raison des pénétrations extrêmement graves et humiliantes subies par la plaignante la nuit du 2 au 3 juillet 2018. Il demande ainsi de porter la peine privative de liberté à 6 ans, le viol et la contrainte sexuelle correspondant aux faits précités devant être sanctionnés d’une peine privative de liberté de 42 mois, augmentée de 30 mois pour tenir compte du concours avec les infractions des cas nos 2 à 8 de l’acte d’accusation.</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t>- 33 -</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w:t>
      </w:r>
    </w:p>
    <w:p>
      <w:r>
        <w:t>- 34 - ATF 137 IV 57 consid. 4.3.1). La peine privative de liberté et la peine pécuniaire ne sont pas des sanctions du même genre (ATF 144 IV 313 consid. 1.1; ATF 144 IV 217 consid. 2.2).</w:t>
      </w:r>
    </w:p>
    <w:p>
      <w:r>
        <w:rPr>
          <w:b/>
        </w:rPr>
        <w:t>E. 6.3</w:t>
      </w:r>
    </w:p>
    <w:p>
      <w:r>
        <w:t>En l’espèce, la condamnation de D.________ pour menaces, tentative de contrainte, viol, contrainte sexuelle, instigation à tentative de contrainte et tentative d’instigation à faux témoignage doit être confirmée. La Cour de céans considère, avec les premiers juges, que la culpabilité de D.________ est très lourde. Lors de trois épisodes distincts, il a porté atteinte à l’intégrité sexuelle de celle qu’il prétendait aimer, lui infligeant des actes avilissants, dans le seul but d’assouvir ses propres besoins sexuels et d’affirmer sa domination. Ensuite, il lui a proféré des menaces de mort et a fait preuve d’un véritable acharnement en exerçant une forme de pression psychologique sur la victime, en la harcelant de messages via plusieurs médias, en la contactant malgré les injonctions du Ministère public, en recourant au chantage affectif et en la menaçant par l’intermédiaire de tiers, alors même qu’il était en détention. Le prévenu a démontré une absence totale d’empathie et une incapacité à prendre conscience de la gravité de ses actes puisqu’il a persévéré dans ses dénégations. Sa responsabilité pénale est pleine et entière. A décharge, on retiendra le fait que certaines infractions sont restées au stade de la tentative, le jeune âge du prévenu, les éléments favorables résultant des certificats de travail produits et le fait qu’il a entrepris un traitement en prison. La Cour de céans fait donc sienne la motivation complète et convaincante des premiers juges, qui n’ont omis aucun élément d’appréciation dans leurs considérants, conduisant à condamner l'appelant à une peine privative de liberté de 3 ans pour les infractions de base de viol et de contrainte sexuelle (cas n° 1 de l’acte d’accusation), augmentée</w:t>
      </w:r>
    </w:p>
    <w:p>
      <w:r>
        <w:t>- 35 - de 2 ans pour les infractions de contrainte, de viol, de menaces et de tentative de contrainte résultant des chiffres 2 à 5, 7 et 8 de l’acte d’accusation. En définitive, la peine privative de liberté de 5 ans prononcée par les premiers juges correspond à la lourde culpabilité du prévenu et est donc adéquate, de sorte qu’elle doit être confirmée.</w:t>
      </w:r>
    </w:p>
    <w:p>
      <w:r>
        <w:rPr>
          <w:b/>
        </w:rPr>
        <w:t>E. 7</w:t>
      </w:r>
    </w:p>
    <w:p>
      <w:r>
        <w:t>Conformément à l’art. 51 CP, la détention subie par D.________ depuis le jugement de première instance sera déduite de la peine privative de liberté prononcée. Le maintien en détention pour des motifs de sûreté de l’appelant sera en outre ordonné pour garantir l’exécution de la peine prononcée, vu le risque de réitération qu’il présente (cf. supra consid. 1.3 dans la partie « En fait » ; art. 221 al. 1 let. c CPP ;)</w:t>
      </w:r>
    </w:p>
    <w:p>
      <w:r>
        <w:rPr>
          <w:b/>
        </w:rPr>
        <w:t>E. 8</w:t>
      </w:r>
    </w:p>
    <w:p>
      <w:r>
        <w:t>Enfin, les renseignements fournis par la direction de la prison du Bois-Mermet, produits par l’appelant (P. 205/A), ne sont pas suffisants pour permettre à la Cour de céans de statuer sur une éventuelle réparation du préjudice causé par les conditions de détention (espace individuel à disposition du détenu, emplacement des sanitaires, temps de confinement en cellule par jour etc. [cf. not. ATF 140 I 125 ; CREP 10 novembre 2020/886 et les réf. citées]), de sorte que la conclusion prise par l’appelant à cet égard doit être rejetée.</w:t>
      </w:r>
    </w:p>
    <w:p>
      <w:r>
        <w:rPr>
          <w:b/>
        </w:rPr>
        <w:t>E. 9</w:t>
      </w:r>
    </w:p>
    <w:p>
      <w:r>
        <w:t>En conclusion, l'appel de D.________ ainsi que l’appel joint du Ministère public doivent être rejetés et le jugement attaqué intégralement confirmé. Me Coralie Devaud, conseil d'office de la plaignante, a produit une liste d'opérations faisant état d’une activité de 12 heures (P. 208). Il</w:t>
      </w:r>
    </w:p>
    <w:p>
      <w:r>
        <w:t>- 36 - n'y a pas lieu de s'en écarter, sous réserve de 30 minutes à déduire du temps (2h30) indiqué pour l'audience d'appel, qui a duré 2 heures. Au tarif horaire d'avocat de 180 fr., l'indemnité pour la procédure d'appel s'élève ainsi à 2'070 fr., auxquels s'ajoutent une vacation forfaitaire de 120 fr., des débours forfaitaires de 2 % par 41 fr. 40 et la TVA au taux de 7,7 % sur le tout par 171 fr. 80, soit un total de 2'403 fr. 20. Vu l'issue de la cause et compte tenu du fait que le Ministère public n'est intervenu dans la procédure d'appel que par voie de jonction et que son appel porte sur un seul point, l’émolument d’appel, par 3'450 fr. (art. 21 al. 1 et 2 TFIP [tarif des frais de procédure et indemnités en matière pénale du 28 septembre 2010; BLV 312.03.1]), sera mise par trois quarts, soit par 2'587 fr. 50, à la charge de D.________ (cf. art. 428 al. 1 CPP), le solde étant laissé à la charge de l'Etat. En outre, sera mise à la charge de D.________ l’intégralité de l’indemnité allouée au conseil d’office de B.________, dès lors que celle-ci a conclu au rejet de l’appel principal et s’en est remise à justice concernant l’appel joint du Ministère public. Le prévenu ne sera tenu de rembourser à l’Etat le montant de l’indemnité de conseil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