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PE18.023697 vom 21. August 2019</w:t>
      </w:r>
    </w:p>
    <w:p>
      <w:r>
        <w:t>VD Tribunal cantonal, 2019-08-21, FR</w:t>
      </w:r>
    </w:p>
    <w:p>
      <w:r>
        <w:rPr>
          <w:b/>
        </w:rPr>
        <w:t xml:space="preserve">Quelle: </w:t>
      </w:r>
      <w:r>
        <w:t>https://mcp.opencaselaw.ch/entscheid/vd_gerichte_PE18.023697</w:t>
      </w:r>
    </w:p>
    <w:p>
      <w:r>
        <w:t>FR: VD_GERICHTE PE18.023697 du 21 août 2019</w:t>
      </w:r>
    </w:p>
    <w:p>
      <w:r>
        <w:t>IT: VD_GERICHTE PE18.023697 del 21 agosto 2019</w:t>
      </w:r>
    </w:p>
    <w:p>
      <w:pPr>
        <w:pStyle w:val="Heading2"/>
      </w:pPr>
      <w:r>
        <w:t>Erwägungen</w:t>
      </w:r>
    </w:p>
    <w:p>
      <w:r>
        <w:rPr>
          <w:b/>
        </w:rPr>
        <w:t>E. 1.1</w:t>
      </w:r>
    </w:p>
    <w:p>
      <w:r>
        <w:t>Interjeté en temps utile (art. 396 al. 1 CPP), contre une ordonnance rendue par le Ministère public (art. 393 al. 1 let. a CPP), par une partie qui a qualité pour recourir (art. 382 al. 1 CPP) et dans les formes prescrites (art. 385 al. 1 CPP), le recours de Q.________ est recevable.</w:t>
      </w:r>
    </w:p>
    <w:p>
      <w:r>
        <w:rPr>
          <w:b/>
        </w:rPr>
        <w:t>E. 1.2</w:t>
      </w:r>
    </w:p>
    <w:p>
      <w:r>
        <w:t>Dès lors que le recours porte uniquement sur les conséquences économiques accessoires d’une décision de clôture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rPr>
          <w:b/>
        </w:rPr>
        <w:t>E. 2.1</w:t>
      </w:r>
    </w:p>
    <w:p>
      <w:r>
        <w:t>La recourante fait valoir que deux des chefs de prévention qui pesaient sur elle étaient des infractions et que la cause était complexe et présentait pour elle une source de difficulté, dans la mesure où l’infraction de lésions corporelles simples n’avait pas été retenue, faute d’élément subjectif. Elle ajoute que l’assistance d’un avocat à l’audition de la police</w:t>
      </w:r>
    </w:p>
    <w:p>
      <w:r>
        <w:t>- 4 - était raisonnable, dès lors qu’elle ne savait pas pourquoi elle avait été convoquée. Par ailleurs, elle relève qu’en raison de la nature de sa profession, elle devrait présenter une réputation irréprochable. La recourante expose encore que la police a procédé à deux auditions à la suite de sa plainte et de celle de W.________, de sorte que le Ministère public ne pouvait pas, pour refuser de lui allouer une indemnité, se fonder sur la jurisprudence selon laquelle l’assistance d’un avocat serait déraisonnable lorsqu’une ordonnance de classement serait immédiatement rendue après une audition.</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(ATF 139 IV 241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JdT 2013 IV 184).</w:t>
      </w:r>
    </w:p>
    <w:p>
      <w:r>
        <w:t>- 5 -</w:t>
      </w:r>
    </w:p>
    <w:p>
      <w:r>
        <w:rPr>
          <w:b/>
        </w:rPr>
        <w:t>E. 2.3</w:t>
      </w:r>
    </w:p>
    <w:p>
      <w:r>
        <w:t>En l’espèce, quoi qu’en dise la recourante, la présente affaire était simple, tant du point de vue des faits que du point du vue du droit. L’enquête concernant les faits reprochés à l’intéressée a été très brève, dès lors qu’elle n’est constituée, hormis la plainte déposée par W.________ lors de son audition par la police, que d’une seule audition de Q.________. Par ailleurs, quand bien même le Procureur a écarté l’infraction de lésions corporelles simples faute d’intention de la part de la prénommée, cette notion était en l’occurrence simple à comprendre, même pour une personne n’ayant pas de formation juridique. Le Procureur n’a du surcroît fait aucun développement juridique sur ce point. Enfin, s’il est vrai que les faits reprochés à la recourante constituaient des délits, la présente affaire était de faible gravité et les accusations portées contre elle paraissaient pour l’essentiel d’emblée infondées. Il n’est en outre pas déterminant que Q.________ ignorait les faits sur lesquels elle devait être entendue par la police, puisque c’est en principe à chaque fois le cas lorsqu’une personne doit être entendue par une autorité en qualité de prévenue. Au surplus, le fait que le recourante travaille pour le compte du [...] et qu’elle devrait par conséquent bénéficier d’une situation irréprochable n’y change rien et ne justifie pas, à lui seul, l’assistance d’un avocat. Enfin, le Ministère public a rendu son ordonnance de non-entrée en matière immédiatement après avoir reçu le dossier de la cause, après, comme on l’a vu, qu’une unique audition de Q.________ a été effectuée par la police. Pour ces motifs, le recours à un avocat ne constituait en l’occurrence pas un exercice raisonnable des droits de la défense. Ainsi, c’est à juste titre que le Ministère public a refusé d’allouer une indemnité au sens de l’art. 429 al. 1 let. a CPP à Q.________.</w:t>
      </w:r>
    </w:p>
    <w:p>
      <w:r>
        <w:rPr>
          <w:b/>
        </w:rPr>
        <w:t>E. 3</w:t>
      </w:r>
    </w:p>
    <w:p>
      <w:r>
        <w:t>En définitive, le recours, manifestement mal fondé, doit être rejeté sans échange d’écritures (art. 390 al. 2 CPP) et l’ordonnance attaquée confirmée. Les frais de la procédure de recours, constitués du seul émolument d’arrêt, par 540 fr. (art. 20 al. 1 TFIP [Tarif des frais judiciaires de procédure et indemnités en matière pénale du 28 septembre 2010 ;</w:t>
      </w:r>
    </w:p>
    <w:p>
      <w:r>
        <w:t>- 6 - BLV 312.03.1]), seront mis à la charge de la recourante, qui succombe (art. 428 al. 1 CPP). Le montant de 550 fr. déjà versé à titre de sûretés sera imputé sur les frais mis à la charge de la recourante (art. 383 al. 1 CPP ; art. 7 TFIP). Le solde de 10 fr. sera restitué au [...]. Par ces motifs, le juge unique prononce : I. Le recours est rejeté. II. L’ordonnance du 27 mars 2019 est confirmée. III. Les frais d’arrêt, par 540 fr. (cinq cent quarante francs), sont mis à la charge de Q.________. IV. Le montant de 550 fr. (cinq cent cinquante francs) versé à titre de sûretés est imputé sur les frais mis à la charge de Q.________ au chiffre III ci-dessus, le solde de 10 fr. étant restitué au [...]. V. L’arrêt est exécutoire. Le juge unique : Le greffier : Du Le présent arrêt, dont la rédaction a été approuvée à huis clos, est notifié, par l'envoi d'une copie complète, à : - Me Benjamin Schwab, avocat (pour Q.________), - Ministère public central,</w:t>
      </w:r>
    </w:p>
    <w:p>
      <w:r>
        <w:t>- 7 - et communiqué à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