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PE18.022859 vom 2. Juni 2020</w:t>
      </w:r>
    </w:p>
    <w:p>
      <w:r>
        <w:t>VD Tribunal cantonal, 2020-06-02, FR</w:t>
      </w:r>
    </w:p>
    <w:p>
      <w:r>
        <w:rPr>
          <w:b/>
        </w:rPr>
        <w:t xml:space="preserve">Quelle: </w:t>
      </w:r>
      <w:r>
        <w:t>https://mcp.opencaselaw.ch/entscheid/vd_gerichte_PE18.022859</w:t>
      </w:r>
    </w:p>
    <w:p>
      <w:r>
        <w:t>FR: VD_GERICHTE PE18.022859 du 2 juin 2020</w:t>
      </w:r>
    </w:p>
    <w:p>
      <w:r>
        <w:t>IT: VD_GERICHTE PE18.022859 del 2 giugno 2020</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- 5 - Interjeté en temps utile et dans les formes prescrites (art. 385 al. 1 CPP) auprès de l’autorité compétente, par la partie plaignante qui a qualité pour recourir (art. 382 al. 1 CPP), le recours est recevable.</w:t>
      </w:r>
    </w:p>
    <w:p>
      <w:r>
        <w:rPr>
          <w:b/>
        </w:rPr>
        <w:t>E. 1.14</w:t>
      </w:r>
    </w:p>
    <w:p>
      <w:r>
        <w:t>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 op. cit., n. 52 ad art. 173 CP; Favre/Pellet/Stoudmann, op. cit., n. 1.11 ad art. 14 CP; de Werra, L’avocat et la diffamation [Der Anwalt und die üble Nachrede, traduit de l’allemand], in : L’avocat suisse, n° 70, décembre 1980, p. 14). Tant la partie que son avocat peuvent se prévaloir de l’art. 14 CP à condition de s’être exprimés de bonne foi, de s’être limités à ce qui est nécessaire et pertinent et d’avoir présenté</w:t>
      </w:r>
    </w:p>
    <w:p>
      <w:r>
        <w:t>- 9 - comme telles de simples suppositions (ATF 131 IV 154 consid. 1.2.3). Les propos incriminés dans le cadre de l’art. 173 CP doivent avoir été adressés à un tiers, lequel peut être un avocat, un magistrat ou un fonctionnaire (TF 6B_974/2018 du 20 décembre 2018 consid. 2.3.1 ; Dupuis et al., op. cit., n. 18 ad art. 173 CP).</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 Selon la jurisprudence, cette disposition doit être appliquée conformément à l'adage « in dubio pro duriore ».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ces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références citées, JdT 2012 IV 160 ; TF 6B_1279/2018 du 26 mars 2019 consid. 2.1). En revanche, le Ministère</w:t>
      </w:r>
    </w:p>
    <w:p>
      <w:r>
        <w:t>- 6 -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La recourante considère que les éléments constitutifs de l'infraction de diffamation, respectivement de calomnie, sont réalisés et reproche au Ministère public d'avoir violé le principe in dubio pro duriore. Elle soutient que – sous la plume de leur avocat – les intimés ont jeté le soupçon de manière générale sur elle en croyant pouvoir déduire d'une condamnation antérieure, alors inexistante, un comportement répréhensible pénalement et récurrent de cette dernière à l'encontre de tiers, remettant ainsi en cause sa probité. Selon elle, le Procureure a, à tort, considéré que les allégués litigieux seraient en rapport avec l'affaire pendante, puisque les allégations formulées de façon abstraite avaient précisément trait à un prétendu comportement de la recourante à l'encontre de tiers, non parties à la procédure pendante. Elle soutient que les intimés ont agi intentionnellement. Selon la recourante, les intimés ne sauraient être admis à apporter la preuve de la vérité en se fondant sur sa condamnation ultérieure, puisque les accusations étaient générales. Quant à la preuve de la bonne foi, elle devait aussi être rejetée dans la mesure où un rapide contrôle des pièces produites aurait dû permettre au conseil des intimés de constater l'absence de fondement des allégations formulées. La recourante ajoute qu'il n'y a pas de place pour une éventuelle rétractation au sens de l'art. 173 ch. 4 CP, le simple retrait des allégués 300 et 301 étant insuffisant.</w:t>
      </w:r>
    </w:p>
    <w:p>
      <w:r>
        <w:rPr>
          <w:b/>
        </w:rPr>
        <w:t>E. 3.2</w:t>
      </w:r>
    </w:p>
    <w:p>
      <w:r>
        <w:t>Selon l'art. 173 CP, se rend coupable de diffamation notamment celui qui, en s'adressant à un tiers, aura accusé une personne ou jeté sur elle le soupçon de tenir une conduite contraire à l'honneur, ou de tout autre fait propre à porter atteinte à sa considération (ch. 1). L’inculpé n’encourra aucune peine s’il prouve que les allégations qu’il a articulées ou propagées sont conformes à la vérité ou qu’il avait des</w:t>
      </w:r>
    </w:p>
    <w:p>
      <w:r>
        <w:t>- 7 -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Si l’auteur reconnaît la fausseté de ses allégations et les rétracte, le juge pourra atténuer la peine ou exempter le délinquant de toute peine (ch. 4). Si l’inculpé n’a pas fait la preuve de la vérité de ses allégations ou si elles étaient contraires à la vérité ou si l’inculpé les a rétractées, le juge le constatera dans le jugement ou dans un autre acte écrit (ch. 5). Se rend coupable de calomnie au sens de l’art. 174 CP notamment celui qui, connaissant la fausseté de ses allégations, aura, en s'adressant à un tiers, accusé une personne ou jeté sur elle le soupçon de tenir une conduite contraire à l'honneur, ou de tout autre fait propre à porter atteinte à sa considération (ch. 1). La peine sera une peine privative de liberté de trois ans au plus ou une peine pécuniaire de 30 jours-amende au moins si le calomniateur a, de propos délibéré, cherché à ruiner la réputation de sa victime (ch. 2). Si, devant le juge, le délinquant reconnaît la fausseté de ses allégations et les rétracte, le juge pourra atténuer la peine. Le juge donnera acte de cette rétractation à l’offensé (ch. 3). La calomnie au sens de l'art. 174 CP se distingue de la diffamation par la présence d'un élément subjectif supplémentaire : l'auteur sait que le fait qu'il allègue est faux. La calomnie est ainsi une forme qualifiée de la diffamation (Corboz, Les infractions en droit suisse, vol. 1, 3ème éd., Berne 2010, n. 1 ad art. 174 CP). Tant la diffamation que la calomnie sont des infractions intentionnelles (Corboz, op. cit., n. 48 ad art. 173 CP et n. 11 ad art. 174 CP). L’intention doit porter sur tous les éléments constitutifs objectifs (Dupuis et al. [éd.], Petit commentaire du Code pénal, 2e éd., Bâle 2017, n. 21 ad art. 173 CP et les réf. citées).</w:t>
      </w:r>
    </w:p>
    <w:p>
      <w:r>
        <w:t>- 8 -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ATF 132 IV 112 consid. 2.1; ATF 128 IV 53 consid. 1a p. 57 ss.). L'atteinte à l'honneur pénalement réprimée doit ainsi faire apparaître la personne visée comme méprisable (ATF 137 IV 313 c. 2.1.1; ATF 133 IV 308 c. 8.5.1). Il ne suffit pas d'abaisser une personne dans la bonne opinion qu'elle a d'elle-même ou dans les qualités qu'elle croit avoir.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3e éd., Lausanne 2011, n.</w:t>
      </w:r>
    </w:p>
    <w:p>
      <w:r>
        <w:rPr>
          <w:b/>
        </w:rPr>
        <w:t>E. 3.3</w:t>
      </w:r>
    </w:p>
    <w:p>
      <w:r>
        <w:t>En l'occurrence, les allégations litigieuses (all. 300 et 301) paraissent objectivement attentatoires à l'honneur. Cependant, et comme l'a retenu le Ministère public, du point de vue subjectif, l'élément intentionnel fait manifestement défaut. En effet, les allégations selon lesquelles la recourante avait déjà par le passé été condamnée pour diffamation et injure (all. 300) et qu'elle n'en était pas à son coup d'essai (all. 301), découlent clairement d'une lecture erronée du casier judiciaire de la recourante par le conseil des intimés. On constate que l'inscription y figurant concernait l'enquête en cours dirigée contre la recourante, et non des condamnations antérieures. D'ailleurs, le conseil des intimés a immédiatement retiré ces allégués et la seule pièce offerte comme moyen de preuve, à savoir l'extrait du casier judiciaire, lorsqu'il a eu connaissance de son erreur (cf. P. 4). Ce retrait est, en outre, survenu avant le dépôt de la plainte pénale, de sorte qu'on ne peut retenir que les intimés se seraient enferrés dans cette erreur. Eu égard au fait que le débat judiciaire jouit d'une plus grande liberté en matière de propos/allégations attentatoires à l'honneur (cf. consid. 3.2 supra), et que le mandataire des intimés a agi en toute bonne foi sur la base d'une lecture erronée d'une pièce, certes avec une certaine négligence, il n'y a pas de place pour une éventuelle condamnation. L'ouverture d'une instruction pénale ne se justifiait pas, pas même à la faveur de l'application du principe in dubio pro duriore.</w:t>
      </w:r>
    </w:p>
    <w:p>
      <w:r>
        <w:rPr>
          <w:b/>
        </w:rPr>
        <w:t>E. 4</w:t>
      </w:r>
    </w:p>
    <w:p>
      <w:r>
        <w:t>Il s’ensuit que le recours, manifestement mal fondé, doit être rejeté, sans échange d’écritures (art. 390 al. 2 CPP), et l’ordonnance entreprise confirmée.</w:t>
      </w:r>
    </w:p>
    <w:p>
      <w:r>
        <w:t>- 10 - Vu l’issue de la cause, les frais de la procédure de recours, constitués du seul émolument d’arrêt, par 990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11 mai 2020 est confirmée. III. Les frais d’arrêt, par 990 fr. (neuf cent nonante francs), sont mis à la charge de J.________. IV. L’arrêt est exécutoire. Le président : La greffière : Du Le présent arrêt, dont la rédaction a été approuvée à huis clos, est notifié, par l'envoi d'une copie complète, à : - Me Eric Ramel, avocat (pour J.________), - Ministère public central, et communiqué à : - Me David Raedler, avocat (pour F.________ et V.________), - M. le Procureur de l'arrondissement de l'Est vaudois, par l’envoi de photocopies.</w:t>
      </w:r>
    </w:p>
    <w:p>
      <w:r>
        <w:t>- 11 -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