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PE18.022629 vom 23. September 2019</w:t>
      </w:r>
    </w:p>
    <w:p>
      <w:r>
        <w:t>VD Tribunal cantonal, 2019-09-23, FR</w:t>
      </w:r>
    </w:p>
    <w:p>
      <w:r>
        <w:rPr>
          <w:b/>
        </w:rPr>
        <w:t xml:space="preserve">Quelle: </w:t>
      </w:r>
      <w:r>
        <w:t>https://mcp.opencaselaw.ch/entscheid/vd_gerichte_PE18.022629</w:t>
      </w:r>
    </w:p>
    <w:p>
      <w:r>
        <w:t>FR: VD_GERICHTE PE18.022629 du 23 septembre 2019</w:t>
      </w:r>
    </w:p>
    <w:p>
      <w:r>
        <w:t>IT: VD_GERICHTE PE18.022629 del 23 settembre 2019</w:t>
      </w:r>
    </w:p>
    <w:p>
      <w:pPr>
        <w:pStyle w:val="Heading2"/>
      </w:pPr>
      <w:r>
        <w:t>Erwägungen</w:t>
      </w:r>
    </w:p>
    <w:p>
      <w:r>
        <w:rPr>
          <w:b/>
        </w:rPr>
        <w:t>E. 18</w:t>
      </w:r>
    </w:p>
    <w:p>
      <w:r>
        <w:t>janvier 2019 et a conclu à son annulation et à ce que ses peines soient réduites à 30 jours-amende à 30 fr. le jour avec un sursis de 3 ans et à 300 fr. d'amende convertible en une peine privative de liberté de substitution de 10 jours, subsidiairement à 60 jours-amende à 30 fr. le jour avec un sursis de 3 ans et à 600 fr. d'amende convertible en une peine privative de liberté de substitution de 20 jours. En d roit : 1.</w:t>
      </w:r>
    </w:p>
    <w:p>
      <w:r>
        <w:t>- 4 - 1.1 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2e phrase, CPP). Les conditions d'une révision visant une ordonnance pénale sont restrictives. L'ordonnance pénale est rendue dans le cadre d'une procédure spéciale (art. 352 ss CPP). Elle a pour spécificité de contraindre le condamné à prendre position. Une absence de réaction de la part du condamné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Cette jurisprudence, rendue avant l'entrée en vigueur du nouveau droit de procédure le 1er janvier 2011, garde sa portée (TF 6B_509/2016 du</w:t>
      </w:r>
    </w:p>
    <w:p>
      <w:r>
        <w:rPr>
          <w:b/>
        </w:rPr>
        <w:t>E. 21</w:t>
      </w:r>
    </w:p>
    <w:p>
      <w:r>
        <w:t>décembre 2016 consid. 2 ; TF 6B_1291/2015 du 14 mars 2016 consid.</w:t>
      </w:r>
    </w:p>
    <w:p>
      <w:r>
        <w:t>- 5 - 4.1 et les arrêts cités ; CAPE 30 octobre 2018/444 ; CAPE 13 mars 2017/121). En vertu de l'art. 412 al. 2 CPP, la juridiction d'appel n'entre pas en matière sur la demande de révision si celle-ci est manifestement irrecevable ou non motivée ou si une demande de révision invoquant les mêmes motifs a déjà été rejetée par le passé. 2. 2.1 En l’espèce, le requérant n'a pas fait usage de son droit à former opposition – même non motivée (art. 354 al. 2 CPP) – à l'ordonnance pénale dont il demande la révision. La voie de droit de l'opposition lui aurait permis de faire valoir les circonstances dont il se prévaut dans la présente procédure. En particulier, au vu de ses antécédents médicaux, surtout psychiatriques, il aurait alors eu la faculté de demander une expertise psychiatrique pour faire établir une éventuelle diminution de sa responsabilité pénale au sens de l'art. 19 CP (Code pénal suisse du 21 décembre 1937 ; RS 311.0). Rien ne l'empêchait de faire opposition à cette ordonnance pénale. 3. 3.1 Il résulte de ce qui précède que la demande de révision déposée par P.________ doit être déclarée irrecevable, sans échange d'écritures (art. 412 al. 2 CPP). 3.2 P.________ requiert la désignation d'un défenseur d'office pour la procédure de révision. En dehors des cas de défense obligatoire – hypothèses non réalisées en l'espèce –, l'art. 132 al. 1 let. b CPP soumet à deux conditions le droit à l'assistance d'un défenseur d'office : le prévenu doit être indigent et la sauvegarde de ses intérêts doit justifier une telle assistance. Cette seconde condition s'interprète à l'aune des critères mentionnés à l'art. 132 al. 2 et 3 CPP. En tout état de cause, une affaire n'est pas de peu de gravité lorsque le prévenu est passible notamment d'une peine privative</w:t>
      </w:r>
    </w:p>
    <w:p>
      <w:r>
        <w:t>- 6 - de liberté de plus de quatre mois (art. 132 al. 3 CPP ; TF 18_74/2013 du 9 avril 2013 consid. 2.1). En l'occurrence, compte tenu de l'indigence du requérant, de la peine pécuniaire prononcée à son encontre et de l'irrecevabilité manifeste de la demande de révision qui s'étend à l'irrecevabilité de la requête de défense d'office, il ne se justifie pas de lui désigner un défenseur d'office pour la procédure de révision. 3.3 Les frais de la procédure de révision, par 550 fr. (art. 21 al. 1 et 22 TFIP [Tarif des frais de procédure et indemnités en matière pénale du 28 septembre 2010 ; BLV 312.03.1]), seront mis à la charge du requérant,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