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PE18.022601 vom 20. Dezember 2019</w:t>
      </w:r>
    </w:p>
    <w:p>
      <w:r>
        <w:t>VD Tribunal cantonal, 2019-12-20, FR</w:t>
      </w:r>
    </w:p>
    <w:p>
      <w:r>
        <w:rPr>
          <w:b/>
        </w:rPr>
        <w:t xml:space="preserve">Quelle: </w:t>
      </w:r>
      <w:r>
        <w:t>https://mcp.opencaselaw.ch/entscheid/vd_gerichte_PE18.022601</w:t>
      </w:r>
    </w:p>
    <w:p>
      <w:r>
        <w:t>FR: VD_GERICHTE PE18.022601 du 20 décembre 2019</w:t>
      </w:r>
    </w:p>
    <w:p>
      <w:r>
        <w:t>IT: VD_GERICHTE PE18.022601 del 20 dicembre 2019</w:t>
      </w:r>
    </w:p>
    <w:p>
      <w:pPr>
        <w:pStyle w:val="Heading2"/>
      </w:pPr>
      <w:r>
        <w:t>Erwägungen</w:t>
      </w:r>
    </w:p>
    <w:p>
      <w:r>
        <w:rPr>
          <w:b/>
        </w:rPr>
        <w:t>E. 6</w:t>
      </w:r>
    </w:p>
    <w:p>
      <w:r>
        <w:t>§ 2 CEDH (Convention de sauvegarde des droits de l’homme et des libertés fondamentales du 4 novembre 1950 ; RS 0.1019) et 14 ch. 2 Pacte ONU II (Pacte international relatif aux droits civils et politiques du 16 décembre 1966 ; RS 0.103.2), ainsi que son corollaire, le principe in dubio pro reo, concernent tant le fardeau de la preuve que l'appréciation des preuves au sens large (ATF 144 IV 345 consid. 2.2.3.1 ; ATF 127 I 38 consid. 2a ; TF 6B_1283/2018 du 14 février 2019 consid. 1.2).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w:t>
      </w:r>
    </w:p>
    <w:p>
      <w:r>
        <w:t>- 11 -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144 IV 345 consid. 2.2.3.3 ; ATF 143 IV 500 consid. 1.1 ; ATF 138 V 74 consid. 7 ; TF 6B_1283/2018 du 14 février 2019 consid. 1.2). 3.3 En l’espèce, le prévenu a toujours admis avoir commis un excès de vitesse, mais pas dans la mesure établie par le radar. Il s’agit d’un modèle « Traffic Observer », de type LMS (laser), fabriqué par la maison CES. Selon les certificats de vérification de l’Institut de métrologie produits par la police, le système de surveillance au trafic et le scanner à laser ont été contrôlés respectivement les 28 juin 2018 et 28 février 2018 (P. 8). Les vérifications étaient ainsi toujours valables au jour de l’excès de vitesse, commis le 21 juillet 2018. C’est précisément pour éviter tout risque d’erreur que le Traffic Observer procède à deux mesures de vitesse indépendantes l’une de l’autre, par des méthodes différentes. Les deux mesures ont indiqué une vitesse de 163 km/h. Par ailleurs, le sergent-major [...], qui a installé l’appareil, a attesté qu’il avait respecté les directives techniques et légales (P. 8). Il a au demeurant suivi une formation spécifique pour installer, utiliser et procéder à la maintenance de l’appareil (idem). Le fait que le prévenu soit certain d’avoir roulé à une vitesse moindre ne change rien aux éléments objectifs qui précèdent. Rien ne permet d’affirmer que le compteur de sa moto serait plus précis que le radar et il n’est pas possible de vérifier la constatation visuelle de l’appelant, qui pourrait s’être trompé. Il affirme avoir consulté son compteur juste après avoir été flashé, sans avoir ralenti. Or, il est notoire que le flash d’un radar engendre chez tout conducteur un effet réflexe de ralentir, d’autant lorsqu’il sait déjà qu’il commet un excès de vitesse. Au</w:t>
      </w:r>
    </w:p>
    <w:p>
      <w:r>
        <w:t>- 12 - surplus, l’accélération et la décélération peut être très rapide à moto, d’autant plus avec une telle cylindrée, le prévenu conduisant une Honda 1000 cc. Partant, l’argument de l’appelant ne convainc pas. Enfin, on ne discerne pas en quoi le fait qu’il y avait du vent et qu’une passagère accompagnait l’appelant l’aurait empêché de rouler à 163 km/h. Ces éléments ne sont pas suffisants pour douter du bon fonctionnement du radar. Conformément à l’art. 8 al. 1 let. b ch. 3 OOCCR-OFROU (Ordonnance de l'Office fédéral des routes concernant l’ordonnance sur le contrôle de la circulation routière du 22 mai 2008 ; RS 741.013.1), il y a lieu de déduire de la vitesse mesurée une marge de sécurité de 5 km/h. Il faut donc retenir que l’appelant a circulé à une vitesse de 158 km/h, alors que la vitesse maximale autorisée était de 120 km/h, commettant ainsi un excès de vitesse de 38 km/h. 4. 4.1 L’appelant considère sa peine comme étant trop sévère. 4.2 4.2.1 Conformément à l'art. 90 LCR (loi fédérale sur la circulation routière du 19 décembre 1958 ; RS 741.01), celui qui viole les règles de la circulation prévues par ladite loi ou par les dispositions d'exécution émanant du Conseil fédéral est puni de l'amende (al. 1) ;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l’art. 90 al 2 LCR, il faut procéder à une appréciation aussi bien objective que subjective. D’un point de vue objectif, la violation grave d’une règle de la circulation au sens de l’art. 90 al. 2 LCR suppose que l’auteur ait mis sérieusement en danger la sécurité du trafic. Il y a création d’un danger sérieux pour la sécurité d’autrui non</w:t>
      </w:r>
    </w:p>
    <w:p>
      <w:r>
        <w:t>- 13 - seulement en cas de mise en danger concrète, mais déjà en cas de mise en danger abstraite accrue (ATF 143 IV 508 consid. 1.3 ; ATF 142 IV 93 consid. 3.1 ; ATF 131 IV 133 consid. 3.2). Subjectivement, l'état de fait de l'art. 90 al. 2 LCR exige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Plus la violation de la règle de la circulation est objectivement grave, plus on admettra l'existence d'une absence de scrupule, sauf indice particulier permettant de retenir le contraire (ATF 142 IV 93 précité). Dans le domaine des excès de vitesse, afin d'assurer l'égalité de traitement, la jurisprudence a été amenée à fixer des règles précises. Ainsi, le cas est objectivement grave, c'est-à-dire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 ATF 124 II 259 consid. 2b ; TF 6B_326/2017 du 20 novembre 2017 consid. 1.1). Le conducteur qui dépasse de manière aussi caractérisée la vitesse autorisée agit intentionnellement ou à tout le moins par négligence grossière. Il existe un lien étroit entre la violation objectivement grave et l'absence de scrupule sous l'angle subjectif, sous réserve d'indices contraires spécifiques (TF 6B_326/2017 précité ; TF</w:t>
      </w:r>
    </w:p>
    <w:p>
      <w:r>
        <w:t>- 14 - 6B_3/2014 du 28 avril 2014 consid. 1.1 ; TF 6B_1011/2013 du 13 mars 2014 consid. 2.1). Cependant, la jurisprudence admet que dans des circonstances exceptionnelles, il y a lieu d’exclure l’application du cas grave alors même que le seuil de l’excès de vitesse fixé a été atteint (ATF 143 IV 508 consid. 1.3). Ainsi, sous l’angle de l’absence de scrupules, le Tribunal fédéral a retenu que le cas grave n’était pas réalisé lorsque la vitesse avait été limitée provisoirement à 80km/h sur un tronçon autoroutier pour des motifs écologiques liés à une présence excessive de particules fines dans l’air (TF 6B_444/2016 du 3 avril 2017 consid. 1.3.2 ; TF 6B_109/2008 du 13 juin 2008 consid. 2.2), ou encore lorsque la limitation de vitesse violée relevait notamment de mesures de modération du trafic (TF 6B_622/2009 du 23 octobre 2009 consid. 3.5). 4.2.2 Selon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w:t>
      </w:r>
    </w:p>
    <w:p>
      <w:r>
        <w:t>- 15 - même que le comportement après l’acte et au cours de la procédure pénale (ATF 142 IV 137 consid. 9.1 ; ATF 141 IV 61 consid. 6.1.1 et les références citées ; TF 6B_1463/2019 du 20 février 2020 consid. 2.1.1). 4.2.3 Selon l’art. 42 al. 1 CP, le juge suspend en règle générale l’exécution d’une peine pécuniaire ou d’une peine privative de liberté de deux ans au plus lorsqu’une peine ferme ne paraît pas nécessaire pour détourner l’auteur d’autres crimes ou délits. Si, durant les cinq ans qui précèdent l’infraction, l’auteur a été condamné à une peine privative de liberté ferme ou avec sursis de plus de six mois, il ne peut y avoir de sursis à l’exécution de la peine qu’en cas de circonstances particulièrement favorables (al. 2). 4.3 En l’espèce, l’excès de vitesse de 38 km/h remplit objectivement la condition du cas grave. De plus, aucun élément ne permet de retenir une circonstance exceptionnelle. En particulier, le prévenu savait qu’il commettait un excès de vitesse et venait de dépasser une voiture (P. 5). L’infraction de violation grave des règles de la circulation routière est donc réalisée. La peine de 25 jours-amende à 30 fr. le jour est adéquate. Elle est même assez clémente, au vu de l’excès de vitesse et de l’antécédent de l’appelant, qui avait déjà commis un excès de vitesse caractérisé à moto. Par ailleurs, l’appelant circulait avec une passagère, de sorte qu’il a mis en danger sa sécurité et celle d’autrui. De plus, lors des débats de première instance, le prévenu a laissé entendre que pour un motard, il serait parfaitement normal de commettre des excès de vitesse (jugement p. 7), de sorte qu’il n’apparaît pas que l’appelant ait pris conscience de la gravité des faits. Vu les éléments qui précèdent, il y a lieu de confirmer la peine prononcée par le premier juge. Dans la mesure où le prévenu a fait l’objet le 22 avril 2015 d’une condamnation à une peine privative de liberté de 16 mois avec sursis et qu’il minimise son comportement, le pronostic n’est pas favorable. Le sursis est donc exclu.</w:t>
      </w:r>
    </w:p>
    <w:p>
      <w:r>
        <w:t>- 16 - 5. En conclusion, l’appel formé par P.________ doit être rejeté et le jugement entrepris confirmé. Vu l’issue de la cause, les frais de deuxième instance, constitués en l’espèce des émoluments de jugement et d’audience, par 1’500 fr. (art. 21 al. 1 et 2 TFIP [tarif des frais de procédure et indemnités en matière pénale du 28 septembre 2010 ; BLV 312.03.1]), doivent être mis à la charge de l’appelant P.________,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