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PE18.022298 vom 9. Dezember 2020</w:t>
      </w:r>
    </w:p>
    <w:p>
      <w:r>
        <w:t>VD Tribunal cantonal, 2020-12-09, FR</w:t>
      </w:r>
    </w:p>
    <w:p>
      <w:r>
        <w:rPr>
          <w:b/>
        </w:rPr>
        <w:t xml:space="preserve">Quelle: </w:t>
      </w:r>
      <w:r>
        <w:t>https://mcp.opencaselaw.ch/entscheid/vd_gerichte_PE18.022298</w:t>
      </w:r>
    </w:p>
    <w:p>
      <w:r>
        <w:t>FR: VD_GERICHTE PE18.022298 du 9 décembre 2020</w:t>
      </w:r>
    </w:p>
    <w:p>
      <w:r>
        <w:t>IT: VD_GERICHTE PE18.022298 del 9 dicembre 2020</w:t>
      </w:r>
    </w:p>
    <w:p>
      <w:pPr>
        <w:pStyle w:val="Heading2"/>
      </w:pPr>
      <w:r>
        <w:t>Erwägungen</w:t>
      </w:r>
    </w:p>
    <w:p>
      <w:r>
        <w:rPr>
          <w:b/>
        </w:rPr>
        <w:t>E. 1</w:t>
      </w:r>
    </w:p>
    <w:p>
      <w:r>
        <w:t>V.________ est né le [...] 1979 à [...], en Algérie, pays dont il est ressortissant. Il a passé son enfance dans la région de [...] et arrivé au terme de sa scolarité, il a suivi une formation dans le domaine de la logistique. Marié et père d’un enfant, il est domicilié à [...]. Il a indiqué exploiter une entreprise de nettoyage d’automobiles sous la raison commerciale [...], à [...] et réaliser un revenu de l’ordre de 1'000 à 1'500 euros par mois. Le casier judiciaire suisse d’V.________ ne comporte aucune inscription. En revanche, son casier judiciaire français mentionne les cinq condamnations suivantes : - 17 juin 1998 : Tribunal correctionnel de Lyon, violence aggravée et évasion par violence commises le 19 mai 1998), 6 mois d’emprisonnement ;</w:t>
      </w:r>
    </w:p>
    <w:p>
      <w:r>
        <w:t>- 8 - - 21 juillet 1999 : Cour d’appel de Lyon, violence aggravée commises le 7 novembre 1998, 3 ans d’emprisonnement ; - 2 mars 2000 : Tribunal correctionnel de Lyon, violence commise en réunion le 23 avril 1999, un an et 6 mois d’emprisonnement ; - 15 juin 2006 : Cour d’appel de Lyon, participation à une association de malfaiteurs, recel de biens provenant d’un vol avec violence, recel de bien provenant d’un vol et transport d’armes et munitions commis le 4 septembre 2004), 4 ans d’emprisonnement ; - 24 octobre 2018 : Tribunal de police d’Albertville, excès de vitesse d’au moins 50 km/h commis le 18 septembre 2018, amende de 600 euros.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w:t>
      </w:r>
    </w:p>
    <w:p>
      <w:r>
        <w:t>- 10 -</w:t>
      </w:r>
    </w:p>
    <w:p>
      <w:r>
        <w:rPr>
          <w:b/>
        </w:rPr>
        <w:t>E. 2.1</w:t>
      </w:r>
    </w:p>
    <w:p>
      <w:r>
        <w:t>Le 14 novembre 2018 à 21h20, à [...], sur la route [...], W.________, V.________ et [...] (déféré séparément) ont été interpellés par la police, alors qu’ils étaient à bord d’une [...] grise foncée, immatriculée [...], châssis n° [...], et qu’ils avaient clairement l’intention de commettre un brigandage dans le canton de Vaud. Dans leur véhicule, la police a notamment trouvé quatre paires de gants, une paire de collants, un tournevis, une cagoule, une paire de chaussettes, une lampe frontale dans son emballage, deux chalumeaux, ainsi qu’une bouteille de lave-vitre. La police a également retrouvé une cagoule dans le slip d’V.________, qui tentait ainsi de dissimuler les raisons de sa venue en Suisse, ainsi que la somme de 400 fr. dans sa chaussette. Au moment de leur interpellation du 14 novembre 2018, les trois comparses s’apprêtaient à passer à l’acte selon un plan préalable convenu entre eux, ceux-ci ayant pris toutes les dispositions concrètes pour commettre un brigandage, notamment en disposant de tous les objets qu’ils estimaient nécessaires à la commission de leur méfait. Ils avaient également pris soin de ne prendre avec eux aucun document d’identité, ni aucun téléphone portable, en vue de faciliter la perpétration du brigandage projeté et de rendre plus difficile leur interpellation.</w:t>
      </w:r>
    </w:p>
    <w:p>
      <w:r>
        <w:t>- 9 -</w:t>
      </w:r>
    </w:p>
    <w:p>
      <w:r>
        <w:rPr>
          <w:b/>
        </w:rPr>
        <w:t>E. 2.2</w:t>
      </w:r>
    </w:p>
    <w:p>
      <w:r>
        <w:t>Le 14 novembre 2018 à 21h20, à [...], W.________, V.________ et [...] ont été interpellés par la police, alors qu’ils étaient dépourvus de tout document d’identité et qu’ils venaient de traverser la frontière suisse à bord d’une [...] gris foncé, immatriculée [...], châssis n° [...], dans le seul but d’y commettre des infractions et d’en tirer des profits. En d roit : 1. Interjeté dans les formes et délais légaux (art. 399 CPP) par une partie ayant qualité pour recourir contre le jugement d’un tribunal de première instance qui a clos la procédure (art. 398 al. 1 CPP), l’appel d’V.________ est recevable.</w:t>
      </w:r>
    </w:p>
    <w:p>
      <w:r>
        <w:rPr>
          <w:b/>
        </w:rPr>
        <w:t>E. 3.1</w:t>
      </w:r>
    </w:p>
    <w:p>
      <w:r>
        <w:t>Invoquant une violation de la présomption d’innocence, l’appelant conteste sa condamnation pour actes préparatoires à brigandage. Il fait valoir que la saisie de matériel dans le véhicule dans lequel il a été appréhendé ne suffit pas à établir des actes préparatoires délictueux à brigandage. Il soutient que ce matériel, constitué de vêtements de rechange et d’un estagnon d’essence permettant de faire le plein, n’avait rien de particulier et que le premier juge aurait dû, à tout le moins au bénéfice du doute, retenir des actes préparatoires à vol non punissables, dès lors qu’aucune arme ni plan d’exécution n’avaient été retrouvés. Il reproche encore au premier juge d’avoir retenu des éléments de son casier judiciaire français alors que la majorité d’entre-elles ne seraient plus consultables si elles avaient été inscrites dans son casier judiciaire suisse.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w:t>
      </w:r>
    </w:p>
    <w:p>
      <w:r>
        <w:t>- 11 -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w:t>
      </w:r>
    </w:p>
    <w:p>
      <w:r>
        <w:rPr>
          <w:b/>
        </w:rPr>
        <w:t>E. 3.2.2</w:t>
      </w:r>
    </w:p>
    <w:p>
      <w:r>
        <w:t>L'art. 260bis CP (Code pénal du 21 décembre 1937 ; RS 311.0) réprime le comportement de celui qui aura pris, conformément à un plan, des dispositions concrètes d'ordre technique ou d'organisation, dont la nature et l'ampleur indiquent qu'il s'apprêtait à passer à l'exécution de l'une des infractions exhaustivement énumérées par cette disposition, qui mentionne notamment le brigandage (al. 1 let. d).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(TF 6S.447/2004 du 23 février 2005 consid. 2.2 ; ATF 117 IV 395 consid. 3 ; ATF 111 IV 155 consid. 2b).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w:t>
      </w:r>
    </w:p>
    <w:p>
      <w:r>
        <w:t>- 12 - été précis au point de se rapporter à une infraction déjà définie quant au lieu, au moment et à la manière d'agir (TF 6S.447/2004 précité consid. 2.2; ATF 111 IV 155 consid. 2b). L'art.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(TF 6S.447/2004 précité consid. 2.2; ATF 111 IV 155 consid. 2b).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 260bis CP (TF 6S.447/2004 précité consid.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260bis CP. Le dol éventuel n'est pas concevable (TF 6S.447/2004 précité consid. 2.2 et la doctrine citée).</w:t>
      </w:r>
    </w:p>
    <w:p>
      <w:r>
        <w:rPr>
          <w:b/>
        </w:rPr>
        <w:t>E. 3.3</w:t>
      </w:r>
    </w:p>
    <w:p>
      <w:r>
        <w:t>L’appelant conteste en vain sa condamnation pour actes préparatoires à brigandage. En effet, les éléments de preuves retenus par le premier juge démontrent que le prévenu s’apprêtait, avec ses comparses, à passer à l’exécution d’un brigandage. Contrairement à ce que soutient l’appelant, le matériel retrouvé dans le véhicule des prévenus</w:t>
      </w:r>
    </w:p>
    <w:p>
      <w:r>
        <w:t>- 13 - – qui circulaient de nuit sur un chemin interdit à la circulation à proximité de la frontière française sans documents d’identité et sans téléphone portable – n’a rien d’anodin et permet de retenir un projet criminel impliquant à la fois de la violence et une infraction contre le patrimoine. Il en va ainsi en particulier des deux cagoules noires comprenant uniquement deux orifices au niveau des yeux, du bidon d’essence, des deux chalumeaux et des paires de gants retrouvés en possession des prévenus, qui démontrent que l’appelant et ses comparses avaient planifié l’attaque d’un fourgon blindé selon une technique d’incendie déjà utilisée à d’autres reprises en Suisse romande part des délinquants venant de France. Les trois prévenus interpellés se sont en outre contredit quant au motif de leur présence en Suisse, l’appelant ayant déclaré qu’ils ne pensaient pas venir en Suisse et qu’ils devaient aller voir « des copines » à Divonne ou Annemasse (PV aud. 3 R. 6 ; PV aud. 6 l. 30 et ll. 61-63), alors que son comparse W.________ a dit qu’ils avaient décidé d’aller voir ses « amis » (PV aud. 4 ll. 36-41 ; PV aud. 1 R. 6 p. 4). Les explications fournies par le prévenu, selon lesquelles il utilisait la cagoule qui a été retrouvée dans son slip sous son casque de scooter, puis de moto (PV aud. 3 R 8 ; PV aud. 6 ll. 41-43), sont dépourvues de toute crédibilité. On notera encore que le prévenu W.________ n’a pas contesté sa condamnation pour actes préparatoires à brigandage. S’agissant des condamnations pénales figurant sur l’extrait du casier judiciaire français de l’appelant, il convient de rappeler que l’art. 369 al. 7 CP concerne la teneur du casier judiciaire suisse, et non celle du casier judiciaire français, et que, de toute manière, l’inscription déterminante à prendre en compte dans les antécédents de l’appelant est la condamnation du 15 juin 2006 à 4 ans d’emprisonnement pour participation à une association de malfaiteurs notamment, laquelle serait toujours inscrite en Suisse (cf. 369 al. 1 let. b CP). Au reste, pour apprécier la crédibilité des déclarations du prévenu, le juge doit se fonder sur l’ensemble des circonstances, dont font partie sa personnalité et ses antécédents. Le premier juge n’a donc pas pris une décision arbitraire en écartant les dénégations de V.________ en se fondant sur les éléments évoqués ci-avant et sur ses antécédents français (cf. TF 6B_44/2020 du 16</w:t>
      </w:r>
    </w:p>
    <w:p>
      <w:r>
        <w:t>- 14 - septembre 2020 consid. 4.5). Les preuves ne reposent donc pas uniquement sur le matériel retrouvé, mais également sur des renseignements concernant le passé de délinquant de l’appelant pour des infractions analogues. Partant, il ne fait aucun doute que les faits se sont déroulés tels qu’ils sont décrits dans le jugement de première instance, de sorte que l’on ne discerne aucune violation de la présomption d’innocence de l’appelant. La condamnation d’V.________ pour actes préparatoires à brigandage au sens de l’art 260bis al. 1 let. d CP doit ainsi être confirmée.</w:t>
      </w:r>
    </w:p>
    <w:p>
      <w:r>
        <w:rPr>
          <w:b/>
        </w:rPr>
        <w:t>E. 4</w:t>
      </w:r>
    </w:p>
    <w:p>
      <w:r>
        <w:t>L’appelant, qui conclut à sa libération du chef de prévention d’actes préparatoires à brigandage, ne critique pas la peine infligée en tant que telle. Vérifiée d’office, la sanction, fixée en application des critères légaux à charge et à décharge, et conformément à la culpabilité importante d’V.________, ne prête pas le flanc à la critique et doit être confirmée. Une peine privative de liberté doit être prononcée pour des motifs de prévention spéciale compte tenu des antécédents du prévenu. La Cour de céans fait donc sienne la motivation complète et convaincante du premier juge telle qu’exposée dans le jugement entrepris (art. 82 al. 4 CPP ; jugement pp. 16-17), qui l’a conduit à condamner le prévenu à une peine privative de liberté ferme de 11 mois, soit 10 mois pour l’infraction à l’art. 260bis CP augmentée d’un mois en raison du concours avec l’infraction à la LEI. Enfin, l’appelant ne remplit manifestement pas les conditions d’octroi du sursis. Ses antécédents judiciaires et l’absence totale de prise de conscience rendent le pronostic clairement défavorable et excluent l’octroi du sursis.</w:t>
      </w:r>
    </w:p>
    <w:p>
      <w:r>
        <w:t>- 15 -</w:t>
      </w:r>
    </w:p>
    <w:p>
      <w:r>
        <w:rPr>
          <w:b/>
        </w:rPr>
        <w:t>E. 5</w:t>
      </w:r>
    </w:p>
    <w:p>
      <w:r>
        <w:t>L’appelant, qui conclut à son acquittement s’agissant du chef de prévention d’actes préparatoires à brigandage, n’émet aucune critique concernant son expulsion du territoire suisse pour une durée de 10 ans. La condamnation d’V.________ pour actes préparatoires à brigandage étant confirmée en appel, on se trouve dans un cas d’expulsion obligatoire (art. 66a al. 1 let. l CP). Le prévenu n’ayant aucune attache en Suisse où il s’est rendu uniquement pour commettre des infractions graves, il n’y a aucune raison d’y renoncer. Le jugement doit ainsi être confirmé sur ce point.</w:t>
      </w:r>
    </w:p>
    <w:p>
      <w:r>
        <w:rPr>
          <w:b/>
        </w:rPr>
        <w:t>E. 6.1</w:t>
      </w:r>
    </w:p>
    <w:p>
      <w:r>
        <w:t>Finalement, l’appelant critique la confiscation de la montre [...] retrouvée à son poignet lors de son interpellation et la répartition des frais de justice.</w:t>
      </w:r>
    </w:p>
    <w:p>
      <w:r>
        <w:rPr>
          <w:b/>
        </w:rPr>
        <w:t>E. 6.2</w:t>
      </w:r>
    </w:p>
    <w:p>
      <w:r>
        <w:t>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(Moreillon/Parein-Reymond, Petit commentaire du Code de procédure pénale, 2e éd., Bâle 2016, n. 13 ad art. 263 CPP). Dans un tel cas, le séquestre peut être ordonné sur tous les biens du prévenu, y compris sur ceux qui n'ont aucun rapport avec l'infraction (Lembo/Julen Berthod, in : Jeanneret/Kuhn/Perrier Depeursinge [éd.], Commentaire romand, Code de procédure pénale suisse, 2e éd., Bâle 2019, n. 14 ad art. 263 CPP).</w:t>
      </w:r>
    </w:p>
    <w:p>
      <w:r>
        <w:rPr>
          <w:b/>
        </w:rPr>
        <w:t>E. 6.3</w:t>
      </w:r>
    </w:p>
    <w:p>
      <w:r>
        <w:t>En l’espèce, l’appelant succombe à l’action pénale. Il n’y a certes pas de corrélation entre les faits retenus et la montre séquestrée,</w:t>
      </w:r>
    </w:p>
    <w:p>
      <w:r>
        <w:t>- 16 - mais celle-ci peut être confisquée et dévolue à l’Etat, afin que le produit de sa vente puisse être imputé sur les frais de justice mis à sa charge en application de l’art. 263 al. 1 let. b CPP. Il se justifie dès lors de confirmer la confiscation ordonnée.</w:t>
      </w:r>
    </w:p>
    <w:p>
      <w:r>
        <w:rPr>
          <w:b/>
        </w:rPr>
        <w:t>E. 7</w:t>
      </w:r>
    </w:p>
    <w:p>
      <w:r>
        <w:t>Vu le sort de l’appel, il n’y a pas lieu de revenir sur la répartition des frais de première instance opérée par le premier juge. La condamnation de l’appelant étant confirmée, il doit supporter les frais de la procédure (art. 426 al. 1 CPP), ce qui exclut l’octroi d’une quelconque indemnité (ATF 137 IV 352 consid. 2.4.2, JdT 2012 IV 255).</w:t>
      </w:r>
    </w:p>
    <w:p>
      <w:r>
        <w:rPr>
          <w:b/>
        </w:rPr>
        <w:t>E. 8</w:t>
      </w:r>
    </w:p>
    <w:p>
      <w:r>
        <w:t>En définitive, l’appel d’V.________ doit être rejeté et le juge- ment entrepris confirmé. Me Gaëtan-Charles Barraud, défenseur d’office d’V.________, a produit une liste d’opérations faisant état de 13 heures d’activité d’avocat (P. 87), dont il n’y a pas lieu de s’écarter. La rémunération de Me Gaëtan- Charles Barraud doit ainsi être arrêtée à 2'699 fr. 80, correspondant à 13 heures d’activité d’avocat au tarif horaire de 180 fr., par 2'340 fr., plus des débours forfaitaires de 2%, par 46 fr. 80, une vacation à 120 fr. et un montant correspondant à la TVA, par 193 fr. (art. 2 al. 1 let. a et 3bis al. 1 RAJ [Règlement sur l’assistance judiciaire en matière civile du 7 décembre 2010; BLV 211.02.3], applicables par renvoi de l’art. 26b TFIP [Tarif des frais de procédure et indemnités en matière pénale du 28 septembre 2010 ; BLV 312.03.1]). Vu l’issue de la cause, les frais de la procédure d’appel, par 4'419 fr. 80, constitués en l’espèce de l’émolument de jugement, par 1'720 fr. (art. 422 al. 1 CPP ; 21 al. 1 et 2 TFIP [Tarif des frais de procédure et indemnités en matière pénale du 28 septembre 2010, BLV 312.03.1]), et de l’indemnité allouée au défenseur d’office d’V.________, par 2'699 fr. 80, seront mis à la charge d’V.________ qui succombe (art. 428 al. 1 CPP).</w:t>
      </w:r>
    </w:p>
    <w:p>
      <w:r>
        <w:t>- 17 - V.________ ne sera tenu de rembourser à l’Etat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