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PE18.022281 vom 29. Juli 2020</w:t>
      </w:r>
    </w:p>
    <w:p>
      <w:r>
        <w:t>VD Tribunal cantonal, 2020-07-29, FR</w:t>
      </w:r>
    </w:p>
    <w:p>
      <w:r>
        <w:rPr>
          <w:b/>
        </w:rPr>
        <w:t xml:space="preserve">Quelle: </w:t>
      </w:r>
      <w:r>
        <w:t>https://mcp.opencaselaw.ch/entscheid/vd_gerichte_PE18.022281</w:t>
      </w:r>
    </w:p>
    <w:p>
      <w:r>
        <w:t>FR: VD_GERICHTE PE18.022281 du 29 juillet 2020</w:t>
      </w:r>
    </w:p>
    <w:p>
      <w:r>
        <w:t>IT: VD_GERICHTE PE18.022281 del 29 luglio 2020</w:t>
      </w:r>
    </w:p>
    <w:p>
      <w:pPr>
        <w:pStyle w:val="Heading2"/>
      </w:pPr>
      <w:r>
        <w:t>Volltext</w:t>
      </w:r>
    </w:p>
    <w:p>
      <w:r>
        <w:t>TRIBUNAL CANTONAL 452 PE18.022281-//GHE CO UR D’APPEL PENALE ______________________________ Audience du 25 novembre 2020 __________________ Composition : M. MAILLARD, président Mme Fonjallaz et M. Pellet, juges Greffière : Mme Vantaggio ***** Parties à la présente cause : A.A.________, prévenu, représenté par Me Martine Dang, défenseur d’office à Lausanne, appelant, et MINISTÈRE PUBLIC, représenté par la Procureure de l'arrondissement du Nord vaudois, intimé, B.A.________, partie plaignante, intimée. 654</w:t>
      </w:r>
    </w:p>
    <w:p>
      <w:r>
        <w:t>- 8 - La Cour d’appel pénale prend séance à huis clos pour statuer sur l’appel formé par A.A.________ contre le jugement rendu le 29 juillet 2020 par le Tribunal de police de l’arrondissement de la Broye et du Nord vaudois dans la cause le concernant. Elle considère : En fait : A. Par jugement du 29 juillet 2020, le Tribunal de police de l’arrondissement de la Broye et du Nord vaudois a libéré A.A.________ du chef de prévention de menaces (I), a constaté qu'il s'est rendu coupable de séjour illégal, activité lucrative sans autorisation et contrainte (II), l'a condamné à 9 mois de peine privative de liberté (III), a dit qu'il était le débiteur d'B.A.________ du montant de 500 fr. à titre de réparation du tort moral subi (IV), a mis les frais de la cause, y compris l'indemnité en faveur de son défenseur d'office, Me Martine Dang, arrêtée à 2'708 fr. 40, par 85 %, soit par 4'280 fr., à la charge de A.A.________, le solde étant laissé à la charge de l'Etat (V) et dit que le remboursement à l'Etat de 85 % de l'indemnité précitée ne pourra être exigée de A.A.________ que lorsque sa situation financière le permettra (VI). B. Par annonce du 13 août 2020, puis par déclaration motivée du 7 septembre 2020, A.A.________ a formé appel contre ce jugement, en concluant à sa réforme en ce sens qu'il soit également libéré de l'accusation de contrainte, qu'il soit condamné pour séjour illégal et activité lucrative sans autorisation à une peine pécuniaire de 180 jours- amende à 10 fr. le jour, avec sursis pendant 2 ans, et que seul 50 % des frais de procédure soient mis à sa charge. C. Les faits retenus sont les suivants :</w:t>
      </w:r>
    </w:p>
    <w:p>
      <w:r>
        <w:t>- 9 - 1. A.A.________ est né le [...] 1974, en Turquie, au sein d’une famille de dix enfants. En 1997, il s’est installé en Suisse, où il a toujours résidé illégalement. Depuis son arrivée dans notre pays, A.A.________ a vécu à Berne, à Vallorbe et à Fribourg, gagnant sa vie en travaillant sans autorisation dans des restaurants. Le neveu du prévenu, C.A.________, est marié à B.A.________. L'appelant a vécu avec les prénommés au domicile du père de C.A.________ à la fin de l’année 2011, pendant deux mois. L'appelant habite depuis un an à [...], dans une chambre qu’il loue au- dessus du restaurant « [...] », pour un loyer de 300 francs. Il a travaillé illégalement au restaurant « [...] », situé dans ce village, réalisant un revenu mensuel moyen de 550 francs. Il a déclaré ne plus travailler à l'heure actuelle et se faire aider financièrement par des habitants de la commune. Il a indiqué avoir des dettes à hauteur de 7'200 francs. L'appelant est célibataire et n’a pas d’enfant. Il a trois frères en Suisse, cinq frères et sœurs en Turquie et une sœur en Allemagne. Ses parents sont décédés. Il souffre de problèmes de digestion ainsi que de problèmes cardiaques. Le témoin [...], qui a rencontré le prévenu en fréquentant un kebab à Vallorbe, a déclaré en audience de première instance que l'appelant était une personne sociale et généreuse. Le casier judiciaire suisse de l'appelant comporte l’inscription suivante : - 25 février 2012, Ministère public du canton de Fribourg, séjour illégal et activité lucrative sans autorisation, peine privative de liberté de 30 jours. 2. 2.1 Le 13 novembre 2018, vers 18h30, à Yverdon-les-Bains, [...], A.A.________ s’est rendu, en compagnie de son neveu C.A.________, au domicile que le second nommé partageait avec son épouse et ses deux enfants, [...], 6 ans, et [...], 2 ans. Durant la visite, A.A.________ s’en est pris à B.A.________ en présence des enfants, en lui reprochant d’entretenir une relation extra-conjugale. Elle a alors voulu quitter l’appartement, mais A.A.________ s'est emparé des clés du logement et les a jetées au sol, affirmant qu’elle avait 30 minutes pour avouer sa relation extra-conjugale.</w:t>
      </w:r>
    </w:p>
    <w:p>
      <w:r>
        <w:t>- 10 - B.A.________ s’est ensuite rendue dans la chambre. A.A.________ l’a suivie, a haussé le ton et l’a saisie au bras, ainsi qu'à la mâchoire, pour qu'elle lui révèle le nom de son amant. B.A.________ s’est mise à pleurer et a tenté de se libérer. Le jeune [...] a tenté d’intervenir pour aider sa mère, mais A.A.________ l’a repoussé. L’enfant a eu tellement peur qu’il s’est uriné dessus. Sous l’effet de la crainte qu’elle ressentait, B.A.________ a finalement donné le nom d’un homme comme étant son amant, alors que tel n’était pas le cas. Cet aveu a calmé A.A.________, qui a quitté les lieux avec son neveu. B.A.________ a déposé plainte le 14 novembre 2018. 2.2 Entre le 26 janvier 2012 et le 15 novembre 2018, A.A.________ a séjourné et travaillé en Suisse, notamment à Vallorbe, La Sarraz et Yverdon-les-Bains, alors qu’il n'était titulaire d'aucune autorisation pour ce faire. En d roit : 1. 1.1 Interjeté dans les formes et délais légaux (art. 385 al. 1 et 399 CPP) par une partie ayant qualité pour recourir (art. 382 al. 1 CPP) contre le jugement d’un tribunal de première instance qui a clos la procédure (art. 398 al. 1 CPP), l'appel de A.A.________ est recevable. 1.2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- 11 -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2. L’appelant conteste sa condamnation pour contrainte en raison des faits retranscrits sous le chiffre 2 de l'acte d'accusation. Il fait en substance valoir qu'en saisissant la plaignante au bras et à la mâchoire, il n'a pas fait usage de force ni de violence, que s'il a pris les clés du logement pour les poser au sol, c'était uniquement parce que le porte-clés contenait le logo « Ochsner Sport » et qu'il soupçonnait la plaignante d'avoir une liaison avec un employé de cette entreprise, qu'il n'a toutefois jamais voulu l'intimider, qu'il voulait simplement découvrir l'identité de son amant en lui posant des questions, qu'il ne l'a pas menacée et que les premiers juges auraient dû prendre en compte les nombreuses contradictions qui émanent des déclarations de la plaignante et de son époux. L'appelant souligne encore que s'il a espionné et questionné la plaignante, c'est uniquement parce que son neveu – qui l'a soupçonnait de le tromper – le lui avait demandé. Il en conclut que si ses actes sont « peut-être discutables selon la sensibilité », ils ne sont pas d'une intensité suffisante pour être constitutifs de contrainte au sens de l'art. 181 CP. 2.1 2.1.1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- 12 -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Code de procédure pénale suisse, Commentaire romand, 2e éd., Bâle 2019, n. 34 ad art. 10 ; CAPE 28 avril 2020/118 consid. 3.1).</w:t>
      </w:r>
    </w:p>
    <w:p>
      <w:r>
        <w:t>- 13 -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Code de procédure pénale suisse, Commentaire romand, 2e éd., Bâle 2019, n. 19 ad art. 398). 2.1.2 Se rend coupable de contrainte au sens de l'art. 181 CP celui qui, en usant de violence envers une personne ou en la menaçant d'un dommage sérieux, ou en l'entravant de quelque autre manière dans sa liberté d'action, l'aura obligée à faire, ne pas faire ou à laisser faire un acte.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(TF 6B_568/2019 du 17 septembre 2019 consid. 4.1 et la référence citée). Lorsque la victime ne se laisse pas intimider et n'adopte pas le comportement voulu par l'auteur, ce dernier est punissable de tentative de contrainte (art. 22 al. 1 CP ; ATF 129 IV 262 consid. 2.7 p. 270 ; ATF 106 IV 125 consid. 2b p. 12). Le premier moyen de contrainte mentionné à l'art. 181 CP est l'usage de la violence. La notion de violence comprend toute action physique de l'auteur sur la personne de la victime (Dupuis et al. [éd.], Petit commentaire du Code pénal, 2e éd., Bâle 2017, n. 10 ad art. 181 CP et les références citées).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w:t>
      </w:r>
    </w:p>
    <w:p>
      <w:r>
        <w:t>- 14 - menace (ATF 105 IV 120 consid. 2a).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 ATF 120 IV 17 consid. 2a/aa p. 19).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ATF 137 IV 326 consid. 3.3.1 p. 328). Selon la jurisprudence, la contrainte n'est contraire au droit que si elle est illicite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 ATF 137 IV 326 consid. 3.3.1 p. 328 ; ATF 120 IV 17 consid. 2a/bb p. 20). Sur le plan subjectif, il faut que l'auteur ait agi intentionnellement, c'est-à-dire qu'il ait voulu contraindre la victime à adopter le comportement visé en étant conscient de l'illicéité de son comportement ; le dol éventuel suffit (ATF 120 IV 17 consid. 2c p. 22).</w:t>
      </w:r>
    </w:p>
    <w:p>
      <w:r>
        <w:t>- 15 - 2.2 Prenant appui sur les seules déclarations de A.A.________, le premier juge a en substance retenu que ce dernier s'était bien rendu avec son neveu au domicile de celui-ci car il soupçonnait B.A.________ d'avoir une relation extra-conjugale, qu'il avait pris les clés de l'appartement et les avait jetées au sol, qu'il était énervé, avait crié et avait saisi la plaignante au bras, ainsi qu'à la mâchoire pour qu'elle lui révèle le nom de son amant, qu'il lui avait donné un délai de 30 minutes pour qu'elle avoue sa liaison et qu'elle lui avait finalement indiqué qu'il s'agissait d'un dénommé « Mehmet » (pp. 13 et 14 du jugement). Compte tenu de la faible crédibilité des déclarations de la plaignante et de son époux, le tribunal de première instance n'a en revanche pas retenu que l'appelant avait giflé l'enfant [...] lorsque celui-ci avait tenté d'intervenir pour aider sa mère, ni que le prévenu avait menacé la plaignante de la tuer en lui montrant un sac en papier, tout en lui faisant croire qu'il contenait un couteau et une arme (pp. 14 et 15 du jugement). Au vu de ce qui précède, il apparaît tout d'abord que contrairement à ce que soutient l'appelant, le premier juge a bien pris en considération l'existence de contradictions dans les déclarations de la plaignante et de son époux et n'a en définitive retenu que les faits admis par l'appelant lui-même lors de ses différentes auditions (cf. PV aud. 2, R 12 et 13 ; PV aud. 3, ligne 53 ss). Pour le reste, l'appelant ne remet pas en cause ses déclarations. Il explique que s'il a mis les clés de l'appartement par terre, c'est parce que le porte-clés proviendrait d'une entreprise où travaillerait un potentiel prétendant. L'absurdité de cette explication suffit à se convaincre qu'il voulait en réalité surtout signifier à la plaignante qu'elle ne pourrait pas partir avant qu'elle ne passe aux aveux. Le reste de son récit démontre d'ailleurs que le prévenu – qui a en particulier admis pendant l'instruction qu'il criait et était énervé –, n'avait aucunement l'intention de discuter calmement avec la plaignante, mais voulait bien au contraire la contraindre à livrer l'identité de son amant. Le fait qu'il ait pu agir de cette manière à la demande de son neveu ne change rien à cette appréciation des faits.</w:t>
      </w:r>
    </w:p>
    <w:p>
      <w:r>
        <w:t>- 16 - Cela étant, il est évident qu'en faisant irruption énervé chez la plaignante avec son mari, en s'emparant des clés de l'appartement et en les jetant au sol, en criant et en saisissant la plaignante au bras, ainsi qu'à la mâchoire, tout en lui impartissant un délai de 30 minutes pour avouer son adultère, l'appelant a adopté un comportement propre à impressionner une personne de sensibilité moyenne et à l'entraver d'une manière substantielle dans sa liberté de décision ou d'action. Ces actes ont par ailleurs contraint la plaignante à « avouer » une relation adultérine avec un dénommé « Mehmet ». L'infraction de contrainte est ainsi réalisée. Le moyen de l'appelant doit donc être rejeté et sa condamnation pour contrainte confirmée. 3. L'appelant conteste la peine prononcé contre lui. Sa déclaration d'appel ne contient aucun grief à l'encontre du genre de peine et de sa quotité. Il fait en revanche valoir qu'il n'a pas d'antécédent et qu'il entend entreprendre les démarches nécessaires à régulariser sa situation en Suisse. Il en conclut que le pronostic est favorable et qu'un sursis aurait dû lui être octroyé. 3.1 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w:t>
      </w:r>
    </w:p>
    <w:p>
      <w:r>
        <w:t>- 17 -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141 IV 61 consid. 6.1.1 et les réf. cit. ; TF 6B_654/2018 du 5 septembre 2018 consid. 3.1). 3.1.2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w:t>
      </w:r>
    </w:p>
    <w:p>
      <w:r>
        <w:t>- 18 - l'aggravation contenu à l'art. 49 CP n'est ensuite possible que si le juge choisit, dans le cas concret, le même genre de peine pour sanctionner chaque infraction commise (ATF 144 IV 313 consid. 1.1.1 et les arrêts cités). Que les dispositions pénales applicables prévoient abstraitement des peines de même genre ne suffit pas (ATF 144 IV 313 consid. 1.1.1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3.1.3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privative de liberté inférieure à deux ans, laquelle est susceptible d’être assortie du sursis.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w:t>
      </w:r>
    </w:p>
    <w:p>
      <w:r>
        <w:t>- 19 -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3.2 En l’espèce et comme le premier juge, la Cour de céans considère que la culpabilité de l’appelant est relativement lourde. Il a en effet persisté à séjourner et à travailler en Suisse durant sept ans alors qu’il savait parfaitement qu’il n’en avait pas le droit. Il s’est par ailleurs immiscé dans un conflit conjugal qui ne le regardait pas pour finalement s’en prendre sans retenue à l’épouse de son neveu, qui plus est devant leurs enfants, lesquels ont été choqués au point que l’un d’entre eux s’est uriné dessus. Le prévenu a par ailleurs déclaré vouloir continuer à séjourner en Suisse et n’a à ce jour rien entrepris de concret pour tenter de régulariser sa situation. Il n’a en outre jamais évoqué le moindre regret en lien avec les actes commis au détriment de la plaignante. Il semble même toujours considérer que le fait d’espionner une femme adulte pendant deux mois avant de faire pression sur elle pour lui arracher l’aveu de son adultère serait un comportement tout à fait normal. En d'autres termes, le prévenu n’a manifestement pas pris conscience de la gravité de ses actes. A charge, il y a lieu de retenir que l’appelant a déjà été condamné le 25 février 2012 à une peine privative de liberté ferme de 30 jours pour séjour illégal et activité lucrative sans autorisation. A décharge, il convient de retenir, à l’instar du premier juge, que l’époux de la plaignante semble également porter une part de</w:t>
      </w:r>
    </w:p>
    <w:p>
      <w:r>
        <w:t>- 20 - responsabilité dans les faits qui se sont produits le 13 novembre 2018 (cf. p. 14 du jugement). Cela étant, une peine privative de liberté s’impose pour sanctionner les infractions à la loi sur les étrangers pour des motifs de prévention spéciale. Elle se justifie également pour le délit de contrainte dans la mesure où une peine pécuniaire ne pourrait manifestement pas être exécutée, à tout le moins pas sans commettre de nouveau délit (art. 41 al. 1 let. a CP). L’infraction abstraitement la plus grave est celle de contrainte. La peine de 4 mois arrêtée par le premier juge est justifiée compte tenu de l’attitude du prévenu. Par l’effet du concours, cette peine doit être augmentée de 3 mois pour le séjour illégal et de 2 mois pour l’exercice d’une activité lucrative sans autorisation, ce qui conduit à une peine privative de liberté totale de 9 mois. La durée de la peine exclut l’octroi d’un sursis partiel. Le pronostic est de toute manière défavorable compte tenu de la récidive en matière d'infraction à la loi sur les étrangers, couplée à l’absence de démarche effective en vue d’une hypothétique régularisation de sa situation administrative, et de l’absence totale de prise de conscience de l’appelant. La peine doit donc être ferme. Compte tenu de ce qui précède, la peine prononcée par le premier juge est adéquate et doit être confirmée. 4. L’appelant conteste encore le montant de 500 fr. alloué à la plaignante à titre d’indemnité pour tort moral. Il fait valoir que l’existence d’un traumatisme n’est pas démontrée et que c’est le comportement adultère de celle-ci qui serait à l’origine de ses problèmes sociaux et familiaux. 4.1 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w:t>
      </w:r>
    </w:p>
    <w:p>
      <w:r>
        <w:t>- 21 -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 4.2 A l’instar du Tribunal de police, la Cour de céans considère que le fait de surveiller une femme pendant deux mois, avant de l’accuser d’adultère, puis de le lui faire « avouer » sous la contrainte devant ses jeunes enfants terrorisés, était notoirement de nature à causer un tort certain à la plaignante. Partant, le montant de 500 fr. alloué par le premier juge doit être confirmé. 5. En définitive, l’appel de A.A.________ doit être rejeté et le jugement attaqué confirmé. Selon la liste d’opérations produite par le défenseur d’office de A.A.________, dont il n’y a pas lieu de s’écarter, une indemnité d’un montant de 1'343 fr., débours, TVA et vacation compris, doit être allouée à Me Martine Dang pour la procédure d’appel. Vu l’issue de la cause, les frais de la procédure d’appel, par 3'283 fr., constitués de l’émolument de jugement et d'audience, par 1'940</w:t>
      </w:r>
    </w:p>
    <w:p>
      <w:r>
        <w:t>- 22 - fr. (art. 21 al. 1 et 2 TFIP [tarif des frais de procédure et indemnités en matière pénale ; BLV 312.03.1]), et de l’indemnité allouée au défenseur d’office de A.A.________, par 1'343 fr., seront mis à la charge de A.A.________. A.A.________ ne sera tenu de rembourser à l’Etat le montant de l’indemnité allouée à son défenseur d’office que lorsque que sa situation financière le permettra (art. 135 al. 4 let. a CPP). Par ces motifs, la Cour d’appel pénale, statuant en application des art. 40, 47, 49, 181 CP, 115 al. 1 let. b et c aLEtr et 398 ss CPP, prononce : I. L’appel est rejeté. II. Le jugement rendu le 29 juillet 2020 par le Tribunal de police de l'arrondissement de La Broye et du Nord vaudois est confirmé selon le dispositif suivant : "I. libère A.A.________ du chef de prévention de menaces ; II. constate que A.A.________ s’est rendu coupable de séjour illégal, activité lucrative sans autorisation et contrainte ; III. condamne A.A.________ à 9 (neuf) mois de peine privative de liberté ; IV. dit que A.A.________ est le débiteur de B.A.________ du montant de 500 fr. (cinq cents francs) à titre de réparation du tort moral subi ; V. met les frais de la cause par 85 % (huitante-cinq pourcents), soit 4'280 fr. (quatre mille deux cent huitante francs), à la charge de A.A.________, le solde étant laissé à la</w:t>
      </w:r>
    </w:p>
    <w:p>
      <w:r>
        <w:t>- 23 - charge de l’Etat, y compris l’indemnité en faveur de son défenseur d’office, Me Martine Dang, arrêtée à 2'708 fr. 40 (deux mille sept cent huit francs et quarante centimes) ; VI. dit que le remboursement à l’Etat du 85 % (huitante-cinq pourcents) de l’indemnité arrêtée sous chiffre V ci-dessus ne pourra être exigé de A.A.________ que lorsque sa situation financière le permettra." III. Une indemnité de défenseur d'office pour la procédure d'appel d'un montant de 1'343 fr. (mille trois cent quarante- trois francs), TVA et débours inclus, est allouée à Me Martine Dang. IV. Les frais d'appel, par 3'283 fr., y compris l'indemnité allouée au défenseur d'office, sont mis à la charge de A.A.________. V. A.A.________ ne sera tenu de rembourser à l’Etat de Vaud le montant de l’indemnité en faveur de son défenseur d’office prévue au ch. III ci-dessus que lorsque sa situation financière le permettra. Le président : La greffière : Du Le jugement qui précède, dont le dispositif a été communiqué par écrit aux intéressés le 27 novembre 2020, est notifié, par l'envoi d'une copie complète, à : - Me Martine Dang, avocate (pour A.A.________), - Mme B.A.________, - Ministère public central, et communiqué à :</w:t>
      </w:r>
    </w:p>
    <w:p>
      <w:r>
        <w:t>- 24 - - M. le Président du Tribunal de police de l'arrondissement de la Broye et du Nord vaudois, - Mme la Procureure de l'arrondissement du Nord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