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PE18.022209 vom 13. Januar 2021</w:t>
      </w:r>
    </w:p>
    <w:p>
      <w:r>
        <w:t>VD Tribunal cantonal, 2021-01-13, FR</w:t>
      </w:r>
    </w:p>
    <w:p>
      <w:r>
        <w:rPr>
          <w:b/>
        </w:rPr>
        <w:t xml:space="preserve">Quelle: </w:t>
      </w:r>
      <w:r>
        <w:t>https://mcp.opencaselaw.ch/entscheid/vd_gerichte_PE18.022209</w:t>
      </w:r>
    </w:p>
    <w:p>
      <w:r>
        <w:t>FR: VD_GERICHTE PE18.022209 du 13 janvier 2021</w:t>
      </w:r>
    </w:p>
    <w:p>
      <w:r>
        <w:t>IT: VD_GERICHTE PE18.022209 del 13 gennaio 2021</w:t>
      </w:r>
    </w:p>
    <w:p>
      <w:pPr>
        <w:pStyle w:val="Heading2"/>
      </w:pPr>
      <w:r>
        <w:t>Erwägungen</w:t>
      </w:r>
    </w:p>
    <w:p>
      <w:r>
        <w:rPr>
          <w:b/>
        </w:rPr>
        <w:t>E. 18</w:t>
      </w:r>
    </w:p>
    <w:p>
      <w:r>
        <w:t>janvier 2021 antérieures à la procédure d’appel, qui constituent des opérations post-audience déjà indemnisées en première instance, qu’il n’y a pas non plus lieu de tenir compte des courriers au client, qui constituent une activité de secrétariat, qu’il y a en revanche lieu de retenir 5 téléphones au client à raison de 10 minutes chacun, 2 courriers à la Cour de céans ainsi qu’une annonce d’appel à raison de 10 minutes chacun, le solde étant excessif, ainsi que 1h45 pour les deux conférences avec le client comme demandé, qu’il y a seulement lieu de retenir 2 heures pour la demande de mise en liberté ainsi que 1h30 pour le suivi du dossier (lecture de l’appel joint, des décisions judiciaires, etc.), que le temps consacré à la rédaction de la déclaration d’appel sera ramené à 6 heures, les 9h30 alléguées étant excessives au vu du mémoire produit – qui comporte de larges extraits du dossier ou du jugement reproduits in extenso –, les faits et le droit étant par ailleurs connus de l’avocat qui a plaidé en première instance, que le temps consacré au dossier de la présente cause doit donc être ramené à 12 heures 35 (50 minutes de téléphones, 30 minutes de courriers et annonce d’appel, 1h45 de conférence, 1h30 de suivi du</w:t>
      </w:r>
    </w:p>
    <w:p>
      <w:r>
        <w:t>- 5 - dossier et 8 heures pour la rédaction de la déclaration d’appel et de la demande de mise en liberté), qu’il y a donc lieu d’allouer au défenseur d’office de Q.________ une indemnité correspondant à des honoraires par 2’265 fr. (12,58 heures d’activité à 180 fr.), auxquels s’ajoutent des débours au taux forfaitaire de 2%, par 45 fr. 30, 280 fr. de vacations, et la TVA sur le tout, au taux de 7,7%, par 199 fr. 45, soit 2'789 fr. 75 au total, qu’enfin, les frais de la procédure d'appel, par 3’229 fr. 75, constitués de l’émolument de décision, par 440 fr. (art. 21 al. 1 et 2 TFIP [tarif des frais de procédure et indemnités en matière pénale du 28 septembre 2010; BLV 312.03.1]), et de l’indemnité allouée au défenseur d’office du prévenu, par 2’789 fr. 90, sont mis à la charge de Q.________ (art. 428 al. 1 CPP), que l’appelant ne sera tenu de rembourser à l’Etat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