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PE18.022026 vom 15. Oktober 2020</w:t>
      </w:r>
    </w:p>
    <w:p>
      <w:r>
        <w:t>VD Tribunal cantonal, 2020-10-15, FR</w:t>
      </w:r>
    </w:p>
    <w:p>
      <w:r>
        <w:rPr>
          <w:b/>
        </w:rPr>
        <w:t xml:space="preserve">Quelle: </w:t>
      </w:r>
      <w:r>
        <w:t>https://mcp.opencaselaw.ch/entscheid/vd_gerichte_PE18.022026</w:t>
      </w:r>
    </w:p>
    <w:p>
      <w:r>
        <w:t>FR: VD_GERICHTE PE18.022026 du 15 octobre 2020</w:t>
      </w:r>
    </w:p>
    <w:p>
      <w:r>
        <w:t>IT: VD_GERICHTE PE18.022026 del 15 ottobre 2020</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(CREP 25 juillet 2018/563; CREP 24 avril 2017/266).</w:t>
      </w:r>
    </w:p>
    <w:p>
      <w:r>
        <w:t>- 3 -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Le présent recours a été interjeté auprès du Ministère public, à l’attention d’un Procureur qui, nommément désigné, s’avère être le Président du Tribunal de police ayant rendu le prononcé du 17 juillet 2020. Cette date est mentionnée dans le recours comme étant celle de la notification de l’ordonnance pénale contre laquelle le prévenu déclare former opposition. En dépit de la confusion entachant la désignation de l’objet du recours, il y a lieu de considérer que le prévenu entend recourir contre le prononcé rendu le 17 juillet 2020 par le Tribunal de police de l’arrondissement de la Broye et du Nord vaudois. Le recours a été interjeté en temps utile devant une autorité incompétente, qui a transmis l’acte à l’autorité compétente conformément à l’art. 91 al. 4 CPP. En outre, le prévenu a la qualité pour recourir (art. 382 al. 1 CPP). Il reste à déterminer si le recours a été établi dans les formes prescrites.</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- 4 -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Jeanneret/Kuhn/Perrier Depeursinge [éd.],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6B_705/2019 du 5 septembre 2019 consid. 3.2.2; TF 6B_347/2016 du 10 février 2017 consid. 4.1).</w:t>
      </w:r>
    </w:p>
    <w:p>
      <w:r>
        <w:t>- 5 -</w:t>
      </w:r>
    </w:p>
    <w:p>
      <w:r>
        <w:rPr>
          <w:b/>
        </w:rPr>
        <w:t>E. 2.2</w:t>
      </w:r>
    </w:p>
    <w:p>
      <w:r>
        <w:t>En l’espèce, l’acte de recours ne contient ni motivation, ni conclusion, pas plus qu’il ne soulève le moindre moyen qui justifierait le prononcé d’une autre décision. En effet, alors que le prononcé du 17 juillet 2020 déclare irrecevable l’opposition à l’ordonnance pénale du 14 mai 2020, le recourant indique contester les faits tels qu’ils lui avaient été imputés par le Ministère public « et, par conséquent, leur qualification juridique ainsi que la peine prononcée ». Le recours est donc dépourvu de moyens et de conclusions qui seraient dirigés contre le dispositif du prononcé du 17 juillet 2020. Partant, sa motivation ne satisfait pas aux exigences de l’art. 385 al. 1 CPP. L’art. 385 al. 2 CPP ne permet pas de suppléer à un défaut de motivation dans le mémoire en question (cf. les arrêts cités ci-dessus).</w:t>
      </w:r>
    </w:p>
    <w:p>
      <w:r>
        <w:rPr>
          <w:b/>
        </w:rPr>
        <w:t>E. 3</w:t>
      </w:r>
    </w:p>
    <w:p>
      <w:r>
        <w:t>Par surabondance, supposé recevable, le recours n’en aurait pas moins dû être rejeté. En effet, l’ordonnance pénale du 14 mai 2020 a été notifiée au recourant le lendemain 15 mai 2020 (P. 14) et l’opposition n’a été formée que le 3 juin suivant (P. 11), soit après l’échéance du délai d’opposition de dix jours prévu par l’art. 354 al. 1 CPP.</w:t>
      </w:r>
    </w:p>
    <w:p>
      <w:r>
        <w:rPr>
          <w:b/>
        </w:rPr>
        <w:t>E. 4</w:t>
      </w:r>
    </w:p>
    <w:p>
      <w:r>
        <w:t>Il résulte de ce qui précède que le recours doit être déclaré irrecevable sans échange d’écritures (art. 390 al. 2 CPP). Les frais de la procédure de recours, par 550 fr. (art. 20 al. 1 TFIP [tarif des frais de procédure et indemnités en matière pénale du 28 septembre 2010; BLV 312.03.1]), seront mis à la charge du recourant, qui succombe (art. 428 al. 1 CPP). Par ces motifs, la Chambre des recours pénale prononce : I. Le recours est irrecevable. II. Les frais d’arrêt, par 550 fr. (cinq cent cinquante francs), sont mis à la charge du recourant.</w:t>
      </w:r>
    </w:p>
    <w:p>
      <w:r>
        <w:t>- 6 - III. L’arrêt est exécutoire. Le président : Le greffier :</w:t>
      </w:r>
    </w:p>
    <w:p>
      <w:r>
        <w:t>- 7 - Du Le présent arrêt, dont la rédaction a été approuvée à huis clos, est notifié, par l'envoi d'une copie complète, à : - M. P.________, - Ministère public central, et communiqué à : - M. le Président du Tribunal de police de l’arrondissement de la Broye et du Nord vaudois, - Mme la Procureure du Ministère public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