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PE18.021911 vom 7. März 2019</w:t>
      </w:r>
    </w:p>
    <w:p>
      <w:r>
        <w:t>VD Tribunal cantonal, 2019-03-07, FR</w:t>
      </w:r>
    </w:p>
    <w:p>
      <w:r>
        <w:rPr>
          <w:b/>
        </w:rPr>
        <w:t xml:space="preserve">Quelle: </w:t>
      </w:r>
      <w:r>
        <w:t>https://mcp.opencaselaw.ch/entscheid/vd_gerichte_PE18.021911</w:t>
      </w:r>
    </w:p>
    <w:p>
      <w:r>
        <w:t>FR: VD_GERICHTE PE18.021911 du 7 mars 2019</w:t>
      </w:r>
    </w:p>
    <w:p>
      <w:r>
        <w:t>IT: VD_GERICHTE PE18.021911 del 7 marzo 2019</w:t>
      </w:r>
    </w:p>
    <w:p>
      <w:pPr>
        <w:pStyle w:val="Heading2"/>
      </w:pPr>
      <w:r>
        <w:t>Erwägungen</w:t>
      </w:r>
    </w:p>
    <w:p>
      <w:r>
        <w:rPr>
          <w:b/>
        </w:rPr>
        <w:t>E. 1</w:t>
      </w:r>
    </w:p>
    <w:p>
      <w:r>
        <w:t>Les parties peuvent attaquer une ordonnance de non-entrée en matière rendue par le Ministère public dans les dix jours devant l’autorité de recours (art. 310 al. 2 et 322 al. 2 CPP ; cf. art. 20 al. 1 let. b CPP) qui est, dans le canton de Vaud, la Chambre des recours pénale du Tribunal cantonal (art. 13 LVCPP [Loi d’introduction du Code de procédure pénale suisse du 19 mai 2009 ; RSV 312.01] ; art. 80 LOJV [Loi d’organisation judiciaire du 12 décembre 1979 ; BLV 173.01]). Interjeté dans le délai légal auprès de l’autorité compétente par la partie plaignante qui a qualité pour recourir (art. 382 al. 1 CPP) et dans les formes prescrites (art. 385 CPP), le recours est recevable.</w:t>
      </w:r>
    </w:p>
    <w:p>
      <w:r>
        <w:t>- 5 -</w:t>
      </w:r>
    </w:p>
    <w:p>
      <w:r>
        <w:rPr>
          <w:b/>
        </w:rPr>
        <w:t>E. 2.1</w:t>
      </w:r>
    </w:p>
    <w:p>
      <w:r>
        <w:t>; TF 6B_774/2014 du 22 mai 2015 consid. 3.3).</w:t>
      </w:r>
    </w:p>
    <w:p>
      <w:r>
        <w:rPr>
          <w:b/>
        </w:rPr>
        <w:t>E. 2.2.1</w:t>
      </w:r>
    </w:p>
    <w:p>
      <w:r>
        <w:t>Conformément à l'art. 310 al. 1 let. a CPP, le procureur rend immédiatement – c'est-à-dire sans qu'une instruction soit ouverte – une ordonnance de non-entrée en matière lorsqu'il apparaît, à réception de la dénonciation (cf. art. 301 ss CPP) ou de la plainte (Cornu, in : Kuhn/Jeanneret [éd.], Commentaire romand, Code de procédure pénale suisse, Bâle 2011, nn. 1 et 2 ad art. 310 CPP) ou après une procédure préliminaire limitée aux investigations de la police (art. 300 al. 1 et 306 ss CPP), que les éléments constitutifs d'une infraction ou les conditions à l'ouverture de l'action pénale ne sont manifestement pas réunis (TF 6B_898/2017 du 8 mars 2018 consid. 3.1).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w:t>
      </w:r>
    </w:p>
    <w:p>
      <w:r>
        <w:t>- 6 - matière n'entre pas en ligne de compte. En règle générale, dans le doute, il convient d'ouvrir une enquête pénale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2.2.2</w:t>
      </w:r>
    </w:p>
    <w:p>
      <w:r>
        <w:t>Aux termes de l'art. 189 al. 1 CP (Code pénal suisse du 21 décembre 1937 ; RS 311.0),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6B_71/2015 du 19 novembre 2015 consid. 2.1.2). L’art. 189 CP, tout comme l'art. 190 CP réprimant le viol,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 ATF 128 IV 97 consid. 2b ; ATF 128 IV 106 consid. 3a/bb ; ATF 124 IV 154 consid. 3b). Sur le plan subjectif, l’art. 189 CP sanctionne une infraction de nature intentionnelle, le dol éventuel étant suffisant (TF 6B_968/2016 du 25 septembre 2017 consid. 2.1 ; TF 6B_774/2014 du 22 mai 2015 consid. 3.3 ; Trechsel/Bertossa, in : Treschel/Pieth [éd.], Schweizerisches Strafgesetzbuch, Praxiskommentar, 2e éd, Zurich/St-Gall 2012, n. 12 ad</w:t>
      </w:r>
    </w:p>
    <w:p>
      <w:r>
        <w:t>- 7 - art. 189 CP). L'auteur doit savoir que la victime n'est pas consentante ou en accepter l'éventualité (TF 6B_968/2016 du 25 septembre 2017 consid.</w:t>
      </w:r>
    </w:p>
    <w:p>
      <w:r>
        <w:rPr>
          <w:b/>
        </w:rPr>
        <w:t>E. 2.3</w:t>
      </w:r>
    </w:p>
    <w:p>
      <w:r>
        <w:t>En l’espèce, au vu des éléments figurant au dossier – et notamment des messages WhatsApp échangés par les deux protagonistes dans la nuit du samedi 3 au dimanche 4 novembre 2018 entre 03h00 et 03h15, soit après les faits et alors que la recourante était rentrée chez elle (P. 5) –, force est de constater que l'élément objectif de l’infraction de la contrainte sexuelle au sens de l’art. 189 CP fait manifestement défaut. En effet, s’il y a bien eu un acte d’ordre sexuel, la recourante admet elle- même que T.________ n’a pas eu un comportement violent à son égard et qu’il n’a fait usage ni de menaces ni de pressions psychologiques. A l’instar du Procureur, la Cour de céans considère que la clarté des messages adressés à T.________ par S.________ ne permet pas de suspecter une quelconque contrainte – « C’était vraiment bien à part ça », « Je me sens coupable mais c’était tellement bien que ça compense», « C’est que malgré la culpabilité j’ai trop envie qu’il y ait une autre fois » (P. 5) – ou un quelconque état d'incapacité de la plaignante. Au reste, aucune mesure d’instruction ne permettrait de confirmer « l’intime conviction » de la recourante, qui affirme avoir « eu pendant tout ce rapport sexuel un sentiment de «dissociation» typique des états où la conscience est altérée » et avoir été droguée. L’analyse de son sang prélevé largement plus de 24 heures après les faits ne permettrait par ailleurs pas de détecter de trace de GHB Gamma-hydroxybutyrate, lequel ne peut être décelé dans le sang que pendant 8 heures et dans l’urine que pendant 12 heures (Office fédéral de la santé publique, fiche d’information sur le GHB, juillet 2015, p. 3, disponible sur le site Internet de l’OFSP, http://www.bag.admin.ch). Partant, l’ordonnance attaquée échappe à la critique.</w:t>
      </w:r>
    </w:p>
    <w:p>
      <w:r>
        <w:t>- 8 -</w:t>
      </w:r>
    </w:p>
    <w:p>
      <w:r>
        <w:rPr>
          <w:b/>
        </w:rPr>
        <w:t>E. 3</w:t>
      </w:r>
    </w:p>
    <w:p>
      <w:r>
        <w:t>En définitive, le recours, manifestement mal fondé, doit être rejeté sans échange d’écritures (art. 390 al. 2 CPP) et l’ordonnance entreprise confirmée. Les frais de la procédure de recours, constitués en l'espèce du seul émolument d'arrêt, par 770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8 février 2019 est confirmée. III. Les frais d’arrêt, par 770 fr. (sept cent septante francs), sont mis à la charge de S.________. IV. L’arrêt est exécutoire. Le président : La greffière : Du Le présent arrêt, dont la rédaction a été approuvée à huis clos, est notifié, par l'envoi d'une copie complète, à : - Mme S.________, - Ministère public central,</w:t>
      </w:r>
    </w:p>
    <w:p>
      <w:r>
        <w:t>- 9 - et communiqué à : - M. le Procureur de l’arrondissement de Lausanne, - M. T.________,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