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PE18.021697 vom 10. Juli 2019</w:t>
      </w:r>
    </w:p>
    <w:p>
      <w:r>
        <w:t>VD Tribunal cantonal, 2019-07-10, FR</w:t>
      </w:r>
    </w:p>
    <w:p>
      <w:r>
        <w:rPr>
          <w:b/>
        </w:rPr>
        <w:t xml:space="preserve">Quelle: </w:t>
      </w:r>
      <w:r>
        <w:t>https://mcp.opencaselaw.ch/entscheid/vd_gerichte_PE18.021697</w:t>
      </w:r>
    </w:p>
    <w:p>
      <w:r>
        <w:t>FR: VD_GERICHTE PE18.021697 du 10 juillet 2019</w:t>
      </w:r>
    </w:p>
    <w:p>
      <w:r>
        <w:t>IT: VD_GERICHTE PE18.021697 del 10 luglio 2019</w:t>
      </w:r>
    </w:p>
    <w:p>
      <w:pPr>
        <w:pStyle w:val="Heading2"/>
      </w:pPr>
      <w:r>
        <w:t>Erwägungen</w:t>
      </w:r>
    </w:p>
    <w:p>
      <w:r>
        <w:rPr>
          <w:b/>
        </w:rPr>
        <w:t>E. 15</w:t>
      </w:r>
    </w:p>
    <w:p>
      <w:r>
        <w:t>décembre 2017 consid. 3.1). Le fait d’accuser une personne d'avoir commis une infraction pénale ou un acte réprouvé par les conceptions généralement admises constitue une atteinte à l’honneur (ATF 132 IV 112 précité ; ATF 118 IV 248 consid. 2b).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w:t>
      </w:r>
    </w:p>
    <w:p>
      <w:r>
        <w:t>- 13 -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précité consid. 2.1.3). 3.3 Sur ce point également, l’argumentation du Procureur échappe à la critique. En effet, contrairement à ce que soutient le recourant, les termes « balance », « espion » et « collaborateur » ne sont pas « propres à mettre en cause sa moralité de manière outrageante », puisqu’ils décrivent des agissements qui, s’ils semblent certes peu appréciés dans certaines communautés, sont parfaitement licites et ne suscitent pas de manière générale le mépris à l’encontre de leur auteur, dès lors que tout un chacun a le droit de dénoncer des agissements illégaux aux autorités compétentes et qu’un tel comportement ne saurait en conséquence être considéré comme contraire à l’honneur. Partant, ce grief, infondé, doit être rejeté. 4. 4.1 Le recourant reproche encore au Ministère public d’avoir violé l’art. 180 CP en classant la procédure s’agissant des menaces prétendument émises par B.F.________ à son encontre et fait valoir que l’un des messages que B.F.________ lui aurait envoyé le 4 novembre 2018 serait constitutif de tentative de contrainte, de sorte que le Procureur aurait violé l’art. 181 CP en n’envisageant pas cette qualification. 4.2 Aux termes de l'art. 180 al. 1 CP, celui qui, par une menace grave, aura alarmé ou effrayé une personne sera, sur plainte, puni d'une peine privative de liberté de trois ans au plus ou d'une peine pécuniaire. Se rend coupable de contrainte selon l’art. 181 CP celui qui, en usant de violence envers une personne ou en la menaçant d’un dommage</w:t>
      </w:r>
    </w:p>
    <w:p>
      <w:r>
        <w:t>- 14 - sérieux, ou en l’entravant de quelque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 TF 6B_415/2018 du 20 septembre 2018 consid. 2.1.2)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w:t>
      </w:r>
    </w:p>
    <w:p>
      <w:r>
        <w:rPr>
          <w:b/>
        </w:rPr>
        <w:t>E. 17</w:t>
      </w:r>
    </w:p>
    <w:p>
      <w:r>
        <w:t>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4.3 S’agissant tout d’abord des menaces, contestées par A.F.________ et C.F.________, c’est à juste titre que le Procureur a retenu qu’elles n’étaient pas établies et qu’elles n’étaient pas susceptibles de l’être par l’audition de B.F.________, comme on l’a vu au considérant 2.3 ci- dessus, de sorte que le grief de violation de l’art. 180 CP tombe à faux.</w:t>
      </w:r>
    </w:p>
    <w:p>
      <w:r>
        <w:t>- 15 - Quant à la prétendue tentative de contrainte en lien avec le message de B.F.________ du 4 novembre 2018 évoquant des agissements du recourant qui, selon celui-ci, pourraient être qualifiés d’obtention illicite de prestations d’une assurance sociale et de trafic de passeport (cf. consid. A/ee supra), la Cour de céans ne distingue pas en quoi ce message aurait eu pour but d’entraver le recourant dans sa liberté d’action et le recourant ne le démontre d’ailleurs nullement. Il ne saurait en tout cas prétendre que ce message avait pour but de tenter de le convaincre de retirer sa plainte du 6 novembre 2018, puisque celle-ci est postérieure aux faits en question. En tant qu’il soutient que ce message avait pour but de l’obliger à ne pas déposer plainte, le recourant n’invoque pas une entrave suffisante à sa liberté d’action pour envisager la qualification de contrainte au sens de l’art. 181 CP. En effet, comme on l’a vu, l’entrave à la liberté d’action ne peut tomber sous le coup de cette disposition que si elle est d’une certaine gravité et résulte de moyens de contrainte qui, par leur intensité et leur effet, sont analogues à ceux qui sont cités expressément à l’art. 181 CP (ATF 141 IV 437 précité). Partant, ce grief doit être rejeté. 5. Il résulte de ce qui précède que le recours doit être rejeté et l’ordonnance entreprise confirmée. 5.1 Les frais de la procédure de recours, constitués en l’espèce du seul émolument d’arrêt, par 1’870 fr. (art. 20 al. 1 TFIP [Tarif des frais de procédure et indemnités en matière pénale du 28 septembre 2010 ; BLV 312.03.1]), seront mis à la charge du recourant, qui succombe (art. 428 al. 1CPP). 5.2 5.2.1 A.F.________, qui a conclu au rejet du recours, a demandé l’allocation d’une indemnité de 6'000 fr. pour lui-même et ses fils B.F.________ et C.F.________ au titre de l’art. 429 CPP, « compte tenu de</w:t>
      </w:r>
    </w:p>
    <w:p>
      <w:r>
        <w:t>- 16 - l’arrogance du plaignant et de sa volonté caractérielle à vouloir nuire à [sa] famille par son recours du 3 juin 2019 ». 5.2.2 A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FF 2006 p. 1312 ch. 2.10.3.1 ; TF 6B_237/2016 du 18 juillet 2016 consid. 3.1). Le poste de « dommage économique » prévu à l'art. 429 al. 1 let. b CPP concerne tous les préjudices économiques, c'est-à-dire toute diminution involontaire du patrimoine d'une personne (Wehrenberger/Bernhard, in: Niggli/Heer/Wiprächtiger [éd.], Basler Kommentar, Schweizerische Strafprozessordnung, Jugendstrafprozessordnung, 2e éd., Bâle 2014, nn. 23 s. ad art. 429 CPP et les références citées ; Juge unique CREP 19 décembre 2012/836 consid. 2c).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(Wehrenberger/Bernhard, op. cit., nn. 24 s. ad</w:t>
      </w:r>
    </w:p>
    <w:p>
      <w:r>
        <w:t>- 17 - art. 429 CPP et les références citées ; Juge unique CREP 19 décembre 2012/836 précité).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Selon la jurisprudence, l’intensité de l’atteinte à la personnalité doit être analogue à celle requise dans le contexte des art. 28a al. 3 et 49 CO (Loi fédérale du 30 mars 1911 complétant le Code civil suisse ; RS 220) (ATF 143 IV 339 consid. 3.1; TF 6B_1342/2016 du 12 juillet 2017 consid. 4.2 ; Wehrenberger/Bernhard, op. cit., n. 27 ad art. 429 CPP ; Griesser, Kommentar zur Schweizerischen Strafprozessordnung, 2e éd., Zurich/Bâle 2014,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ibid. ; Schmid, Praxiskommentar, Schweizerische Strafprozessordnung, 2e éd., Zurich/St-Gall 2013,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 Gall 2012, n. 1355 ad art. 429 ss et les références citées). Outre la détention avant jugement, peut constituer une grave atteinte à la personnalité, par exemple, une arrestation ou une perquisition menée en public ou avec un fort retentissement médiatique, les conséquences familiales, professionnelles ou politiques d’une procédure pénale, de même que les assertions attentatoires aux droits de la personnalité qui pourraient être diffusées par les autorités pénales en cours d’enquête (ATF 143 IV 339 précité). Conformément à l'art. 429 al. 2 CPP, l'autorité pénale examine d'office les prétentions du prévenu. Elle peut enjoindre à celui-ci de les</w:t>
      </w:r>
    </w:p>
    <w:p>
      <w:r>
        <w:t>- 18 - chiffrer et de les justifier. Lorsque le prévenu ne réagit pas à l'invitation faite par l'autorité selon l'art. 429 al. 2 CPP de chiffrer et justifier ses prétentions, son comportement passif peut le cas échéant équivaloir à une renonciation à une indemnisation (TF 6B_472/2012 du 13 novembre 2012 consid. 2.4). L'absence de réaction implique que le prévenu est forclos, de sorte que l'indemnisation ne peut intervenir dans une procédure ultérieure (TF 6B_842/2014 du 3 novembre 2014 consid. 2.1 et les références citées). 5.2.3 En l’espèce, bien que rendus attentifs à la possibilité de faire valoir une indemnité au sens de l’art. 429 CPP dans le cadre de l’avis de prochaine clôture qui leur avait été adressé par le Ministère public le 18 avril 2019, les prévenus ne se sont pas exprimés, de sorte que le Procureur a considéré qu’il n’y avait pas lieu de leur octroyer une telle indemnité pour la procédure de première instance. Les prévenus, qui n’ont pas recouru contre l’ordonnance de classement, sont dès lors forclos pour faire valoir une indemnité pour la procédure de première instance devant la Cour de céans. Compte tenu de l’issue de la présente procédure, les intimés, qui ont obtenu gain de cause, pourraient certes en principe prétendre à une indemnité au sens de l’art. 429 CPP pour la procédure de recours. Toutefois, mis à part les désagréments inhérents à toute procédure de ce genre, ils n’ont pas démontré qu’ils auraient enduré de préjudice particulier. Ils n’ont en particulier pas subi de traumatisme psychique entraîné par une détention ou toute autre mesure de contrainte et ladite procédure n’a pas fait l’objet d’articles de presse, ni n’a eu de graves conséquences personnelles ou professionnelles sur les prévenus, la présomption d’innocence ayant de surcroît toujours été respectée. Par ailleurs, ceux-ci n’ont pas non plus enduré de préjudice économique découlant de leur défense, dans la mesure où ils ont procédé seuls. Il n’y a dès lors pas lieu d’allouer aux intimés une indemnité au sens de l’art. 429 CPP pour la procédure de recours.</w:t>
      </w:r>
    </w:p>
    <w:p>
      <w:r>
        <w:t>- 19 - Par ces motifs, la Chambre des recours pénale prononce : I. Le recours est rejeté. II. L’ordonnance du 21 mai 2019 est confirmée. III. Les frais d’arrêt, par 1’870 fr. (mille huit cent septante francs), sont mis à la charge de W.________. IV. L’arrêt est exécutoire. Le président : La greffière : Du Le présent arrêt, dont la rédaction a été approuvée à huis clos, est notifié, par l'envoi d'une copie complète, à : - Me Aurore Estoppey, avocate (pour W.________), - M. A.F.________, - M. B.F.________, sans domicile connu, ne peut être avisé, - M. C.F.________, - Ministère public central,</w:t>
      </w:r>
    </w:p>
    <w:p>
      <w:r>
        <w:t>- 20 -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