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PE18.020790 vom 14. Oktober 2020</w:t>
      </w:r>
    </w:p>
    <w:p>
      <w:r>
        <w:t>VD Tribunal cantonal, 2020-10-14, FR</w:t>
      </w:r>
    </w:p>
    <w:p>
      <w:r>
        <w:rPr>
          <w:b/>
        </w:rPr>
        <w:t xml:space="preserve">Quelle: </w:t>
      </w:r>
      <w:r>
        <w:t>https://mcp.opencaselaw.ch/entscheid/vd_gerichte_PE18.020790</w:t>
      </w:r>
    </w:p>
    <w:p>
      <w:r>
        <w:t>FR: VD_GERICHTE PE18.020790 du 14 octobre 2020</w:t>
      </w:r>
    </w:p>
    <w:p>
      <w:r>
        <w:t>IT: VD_GERICHTE PE18.020790 del 14 ottobre 2020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jours de détention dans des conditions illicites et ordonné que 4 jours supplémentaires soient déduits de la peine fixée au chiffre II ci-dessus (VIII), a arrêté à 3'150 fr. l’indemnité due à Me Jérôme Campart, conseil d’office de T.________, à la charge de l’Etat (IX) et a mis une part des frais, par 25'000 fr., le solde demeurant à la charge de l’Etat, à la charge de X.________, montant comprenant l’indemnité due à son défenseur d’office, Me Aurore Estoppey, par 12'000 fr., indemnité dont le remboursement à l’Etat n’est exigible que si la situation financière du débiteur le permet (X),</w:t>
      </w:r>
    </w:p>
    <w:p>
      <w:r>
        <w:t>- 6 - vu l’annonce du 15 octobre 2020 et la déclaration motivée du</w:t>
      </w:r>
    </w:p>
    <w:p>
      <w:r>
        <w:rPr>
          <w:b/>
        </w:rPr>
        <w:t>E. 10</w:t>
      </w:r>
    </w:p>
    <w:p>
      <w:r>
        <w:t>minutes d’activité à 180 fr.), auxquels s’ajoutent des débours forfaitaires de 2%, par 40 fr. 20, et la TVA sur le tout, au taux de 7,7%, par 157 fr. 85, ce qui donne 2'208 fr. 05, et qu’enfin, les frais de la procédure d'appel, par 6'887 fr. 55 – constitués en l’espèce des émoluments de décision et d’audience, par 950 fr. (art. 21 al. 1 et 2 TFIP [tarif des frais de procédure et indemnités en matière pénale du 28 septembre 2010 ; BLV 312.03.1]), de l’indemnité allouée au défenseur d’office de X.________, par 3'729 fr. 50, et de l’indemnité allouée au conseil d’office de T.________, par 2'208 fr. 05, – seront exceptionnellement laissés à la charge de l’Etat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