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PE18.020007 vom 15. November 2021</w:t>
      </w:r>
    </w:p>
    <w:p>
      <w:r>
        <w:t>VD Tribunal cantonal, 2021-11-15, FR</w:t>
      </w:r>
    </w:p>
    <w:p>
      <w:r>
        <w:rPr>
          <w:b/>
        </w:rPr>
        <w:t xml:space="preserve">Quelle: </w:t>
      </w:r>
      <w:r>
        <w:t>https://mcp.opencaselaw.ch/entscheid/vd_gerichte_PE18.020007</w:t>
      </w:r>
    </w:p>
    <w:p>
      <w:r>
        <w:t>FR: VD_GERICHTE PE18.020007 du 15 novembre 2021</w:t>
      </w:r>
    </w:p>
    <w:p>
      <w:r>
        <w:t>IT: VD_GERICHTE PE18.020007 del 15 novembre 2021</w:t>
      </w:r>
    </w:p>
    <w:p>
      <w:pPr>
        <w:pStyle w:val="Heading2"/>
      </w:pPr>
      <w:r>
        <w:t>Erwägungen</w:t>
      </w:r>
    </w:p>
    <w:p>
      <w:r>
        <w:rPr>
          <w:b/>
        </w:rPr>
        <w:t>E. 1</w:t>
      </w:r>
    </w:p>
    <w:p>
      <w:r>
        <w:t>Une ordonnance du Ministère public ordonnant ou refusant d’ordonner la reprise d’une procédure préliminaire (art. 323 CPP [Code de procédure pénale suisse du 5 octobre 2007 ; RS 312.0]) close par une ordonnance de classement ou de non-entrée en matière est susceptible de recours selon les art. 393 ss CPP (CREP 7 juillet 2020/533 consid. 1 ; CREP 1er octobre 2019/800 consid. 1 ; Moreillon/Parein-Reymond, Code de procédure pénale, Petit commentaire, 2e éd., Bâle 2016, n. 15 ad art. 323 CPP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2.1</w:t>
      </w:r>
    </w:p>
    <w:p>
      <w:r>
        <w:t>Le recourant reproche au Ministère public de ne pas avoir exploité « l’hypothèse criminelle » et d’avoir considéré, dans son ordonnance de classement du 5 septembre 2019, que l’intervention de tout tiers dans le décès d’B.U.________ était exclue. Ainsi, il lui fait grief de n’avoir jamais procédé à des analyses ADN sur les « sacs poubelles » retrouvés autour du cou de la victime. Il soutient que ce moyen de preuve serait nouveau dès lors qu’il n’a pas été administré lors de l’instruction. Il</w:t>
      </w:r>
    </w:p>
    <w:p>
      <w:r>
        <w:t>- 4 - précise également que s’il n’a pas fait recours contre l’ordonnance de classement, c’était en raison de son état de santé qui l’aurait empêché d’analyser la situation et de donner des instructions sur un éventuel recours.</w:t>
      </w:r>
    </w:p>
    <w:p>
      <w:r>
        <w:rPr>
          <w:b/>
        </w:rPr>
        <w:t>E. 2.2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1257, ch. 2.6.4.1).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w:t>
      </w:r>
    </w:p>
    <w:p>
      <w:r>
        <w:rPr>
          <w:b/>
        </w:rPr>
        <w:t>E. 2.3</w:t>
      </w:r>
    </w:p>
    <w:p>
      <w:r>
        <w:t>En l’espèce, il ressort du dossier que, par courrier du 30 octobre 2018, le recourant a requis du Ministère public plusieurs mesures</w:t>
      </w:r>
    </w:p>
    <w:p>
      <w:r>
        <w:t>- 5 - d’instruction, dont l’analyse du sac poubelle retrouvé autour du cou d’B.U.________ afin de déterminer si cet objet avait été manipulé par un ou des tiers (P. 14). Cette réquisition a été rejetée par le procureur le 7 novembre 2018 (P. 15). Il s’ensuit que ce moyen de preuve figurait au dossier et a été discuté en cours de procédure. Au vu de la jurisprudence, il ne s’agit dès lors pas d’un nouveau moyen de preuve au sens de l’art. 323 al. 1 CPP et ce même s’il n’a pas été exploité. De plus, le fait qu’un expert ne puisse pas établir un profil ADN sans mandat de l’autorité ne constitue pas un élément nouveau justifiant la réouverture de l’enquête. Pour le surplus, les développements du recourant s’agissant de ses échanges avec le procureur et le procureur général sur la possibilité d’effectuer une expertise privée sont sans pertinence dans le cadre de la procédure de recours. En définitive, si la partie plaignante entendait contester la décision du procureur de rejeter la réquisition de preuve, elle aurait dû le faire en recourant contre l’ordonnance de classement. Le fait qu’elle explique ne pas avoir été en mesure de le faire pour des raisons de santé n’y change rien, ce d’autant plus qu’elle était assistée d’un avocat. Partant, c’est à juste titre que le Ministère public a considéré que les conditions de la reprise de la procédure préliminaire au sens de l’art. 323 al. 1 CPP n’étaient pas réalisées.</w:t>
      </w:r>
    </w:p>
    <w:p>
      <w:r>
        <w:rPr>
          <w:b/>
        </w:rPr>
        <w:t>E. 3</w:t>
      </w:r>
    </w:p>
    <w:p>
      <w:r>
        <w:t>Il résulte de ce qui précède que le recours, manifestement mal fondé, doit être rejeté sans échange d’écritures (art. 390 al. 2 CPP) et l’ordonnance contestée confirmée. Les frais de la procédure de recours, arrêtés à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rejeté. II. L’ordonnance du 15 octobre 2021 est confirmée. III. Les frais d’arrêt, par 550 fr. (cinq cent cinquante francs), sont mis à la charge de A.U.________. IV. L’arrêt est exécutoire. La vice-présidente : Le greffier : Du Le présent arrêt, dont la rédaction a été approuvée à huis clos, est notifié, par l'envoi d'une copie complète, à : - Me Alain Dubuis, avocat (pour A.U.________),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