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PE18.019903 vom 19. März 2021</w:t>
      </w:r>
    </w:p>
    <w:p>
      <w:r>
        <w:t>VD Tribunal cantonal, 2021-03-19, FR</w:t>
      </w:r>
    </w:p>
    <w:p>
      <w:r>
        <w:rPr>
          <w:b/>
        </w:rPr>
        <w:t xml:space="preserve">Quelle: </w:t>
      </w:r>
      <w:r>
        <w:t>https://mcp.opencaselaw.ch/entscheid/vd_gerichte_PE18.019903</w:t>
      </w:r>
    </w:p>
    <w:p>
      <w:r>
        <w:t>FR: VD_GERICHTE PE18.019903 du 19 mars 2021</w:t>
      </w:r>
    </w:p>
    <w:p>
      <w:r>
        <w:t>IT: VD_GERICHTE PE18.019903 del 19 marzo 2021</w:t>
      </w:r>
    </w:p>
    <w:p>
      <w:pPr>
        <w:pStyle w:val="Heading2"/>
      </w:pPr>
      <w:r>
        <w:t>Volltext</w:t>
      </w:r>
    </w:p>
    <w:p>
      <w:r>
        <w:t>TRIBUNAL CANTONAL 418 PE18.019903-//TME CO UR D’APPEL PENALE ______________________________ Audience du 15 septembre 2021 __________________ Composition : M. DE MONTVALLON, président MM. Winzap et Pellet, juges Greffier : M. Petit ***** Parties à la présente cause : X._______, prévenu, représenté par Me Jean-Emmanuel Rossel, défenseur de choix à Morges, appelant, et MINISTERE PUBLIC, représenté par le Procureur de l'arrondissement de La Côte, intimé. 654</w:t>
      </w:r>
    </w:p>
    <w:p>
      <w:r>
        <w:t>- 6 - La Cour d’appel pénale considère : En fait : A. Par jugement du 19 mars 2021, le Tribunal de police de l'arrondissement de La Côte a constaté que X._______ s'était rendu coupable de violation grave des règles de la circulation routière (I), l'a condamné à une peine pécuniaire de 30 jours-amende à 300 fr. avec sursis de 2 ans (II), l'a condamné à une amende de 1'800 fr., convertible en 6 jours de peine privative de liberté de substitution en cas de non- paiement fautif (III), a mis les frais de justice, arrêtés à 4'415 fr. 80 à sa charge (IV) et a rejeté toute autre conclusion (V). B. Par annonce du 1er avril 2021, puis déclaration motivée du 3 mai 2021, X._______ a fait appel de ce jugement, concluant, sous suite de frais et dépens, principalement à la réforme des chiffres I à V du dispositif en ce sens qu’il est acquitté, toutes autres conclusions étant rejetées, une indemnité au sens de l’art. 429 CPP (Code de procédure pénale suisse du 5 octobre 2007 ; RS 312.0) fixée à dire de justice lui étant allouée. Dans ses déterminations du 4 juin 2021, le Ministère public s’est référé aux considérants de la décision attaquée et a conclu au rejet de l’appel avec suite de frais. C. Les faits retenus sont les suivants : 1. X._______ est né le [...] à [...] et est originaire de [...]. Marié à [...], il est domicilié route de [...], [...]. Il est sans activité professionnelle depuis le 31 décembre 2018, mais continue à toucher des commissions sur les revenus de certains clients de la banque dans laquelle il travaillait jusqu'alors, générant ainsi un revenu brut compris entre 200'000 fr. à</w:t>
      </w:r>
    </w:p>
    <w:p>
      <w:r>
        <w:t>- 7 - 300'000 fr. par année. Il déclare également toucher des rendements locatifs estimés entre 150'000 fr. et 200'000 fr. par année, après impôts. S'agissant de ses charges, X._______ les estime à environ 40'000 fr. à 50'000 fr. par année pour l'école privée de ses deux enfants, 12'000 fr. par année d'intérêts hypothécaires et à un montant variable s'agissant des charges d'entretien de la maison. A ces postes particuliers s'ajoutent encore les frais usuels de subsistance et les impôts. Le casier judiciaire suisse du prévenu ne comporte pas d'inscription. 2. A [...], sur la route principale, au lieu-dit « [...]», le 12 juillet 2018, à 19h52, X._______ a conduit son véhicule [...], immatriculée [...], à une vitesse de 118 km/h, marge de sécurité déduite, alors qu'elle est limitée à 80 km/h sur ce tronçon. En d roit : 1. Interjeté dans les formes et délais légaux (art. 399 CPP), contre le jugement d’un tribunal de première instance qui a clos la procédure (art. 398 al. 1 CPP), par une partie qui a qualité pour recourir (art. 382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w:t>
      </w:r>
    </w:p>
    <w:p>
      <w:r>
        <w:t>- 8 -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L'appelant ne discute pas les faits concernés s'agissant de l'excès de vitesse constaté par la gendarmerie, ni la qualification d'infraction grave aux règles de la circulation routière, ni la peine. L'appelant plaide la violation de la présomption d'innocence, faisant valoir qu'il n'était pas le conducteur du véhicule en cause, même s'il admet en être le détenteur. Il soutient que le conducteur peut être un membre de sa famille, de son entourage ou de ses amis dont il serait en droit de taire l'identité conformément aux art. 168 et 169 CPP. Par rapport aux éléments de preuve, l'appelant admet avoir oublié son téléphone portable dans sa voiture, sans que cela puisse pour autant signifier qu'il était au volant au moment des faits qui lui sont reprochés. Il conteste les propos tenus par le procureur aux débats, lequel a indiqué au président d'audience que l'appelant lui aurait déclaré, lors de son audition du 8 mars 2019, que son téléphone portable était en charge dans sa voiture. D'une part, il fait valoir que cet élément ne figure pas au procès-verbal de l'audition en cause et d'autre part que son défenseur, présent à ses côtés, a déclaré qu'il n’avait rien dit de la sorte. L'appelant considère par ailleurs que la jurisprudence citée par le premier juge ne correspondrait pas à sa situation et qu'il n'y a rien d'étrange dans le fait de ne pas s'apercevoir d'avoir oublié son téléphone durant 2 heures alors qu'il se trouvait dans son jardin pour se reposer, rappelant qu'il est malade et affirmant qu'il ne souffre d'aucune addiction au téléphone. Il estime encore n'avoir aucune obligation lui imposant de dénoncer ses proches. Innocent de ce qu'on l'accuse, il ne saurait être condamné à la place d'un autre, le fait d'avoir consulté un avocat ne pouvant constituer un indice de culpabilité comme l'aurait retenu de manière arbitraire selon lui le jugement attaqué. Enfin,</w:t>
      </w:r>
    </w:p>
    <w:p>
      <w:r>
        <w:t>- 9 - l'appelant soutient que le fait de ne pas avoir interrogé son épouse, ne saurait non plus constituer un élément en sa défaveur. 3.2 3.2.1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w:t>
      </w:r>
    </w:p>
    <w:p>
      <w:r>
        <w:t>- 10 -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3.2.2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JdT 1980 I 450 ; ATF 105 Ib 116 consid. 1 ; TF</w:t>
      </w:r>
    </w:p>
    <w:p>
      <w:r>
        <w:t>- 11 - 6B_914/2015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 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6B_562/2010 du 28 octobre 2010 consid. 2.1.2 et les références citées ; TF 6B_237/2015 du 16 février 2016 consid. 2.1). Il arrive fréquemment qu'une infraction soit constatée sur un véhicule sans que l'on puisse identifier la personne qui en était le conducteur au moment des faits. Ce sera le cas, notamment, pour les infractions sont constatés par des appareils automatiques : dans tous les cas, l'autorité ne pourra, la plupart du temps, que connaître le numéro de plaque et, partant, le titulaire du permis de circulation du véhicule qui est présumé être le détenteur (Jeanneret, Les dispositions pénales de la Loi sur la circulation routière (LCR [Loi fédérale sur la circulation routière du 19 décembre 1958 ; RS 741.01]), Berne 2007, p. 14, Définitions n. 39). Selon la jurisprudence, la qualité de détenteur crée un indice de culpabilité suffisant appelant des explications de la part de celui-ci, la jurisprudence de la CEDH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w:t>
      </w:r>
    </w:p>
    <w:p>
      <w:r>
        <w:t>- 12 - disposition d'un nombre indéterminé de personnes (Jeanneret, op. cit., p. 15, Définitions n. 41 ; CAPE 24 juin 2020/255 ; CAPE 15 janvier 2014/7 ; CAPE 20 juin 2011/64). 3.2.3 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w:t>
      </w:r>
    </w:p>
    <w:p>
      <w:r>
        <w:t>- 13 - scrupules, sauf indice particulier permettant de retenir le contraire (ATF 142 IV 93 précité). Dans le domaine des excès de vitesse, afin d'assurer l'égalité de traitement, la jurisprudence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(TF 6B_326/2017 précité ; TF 6B_3/2014 du 28 avril 2014 consid. 1.1 ; TF 6B_1011/2013 du 13 mars 2014 consid. 2.1). 3.3 Pour asseoir sa conviction quant à la culpabilité de l'appelant vis-à-vis des faits qui lui sont reprochés, le premier juge a, en substance, retenu les éléments qui suivent : l'appelant est le détenteur du véhicule impliqué ; son téléphone portable se trouvait dans le véhicule au moment des faits ; l'absence de tout élément probant démontrant que l'appelant était à son domicile au moment des faits rend possible son implication dans la commission de l'infraction ; le cercle des personnes ayant pu avoir accès à son véhicule est restreint ; les déclarations de l'appelant ne sont pas crédibles. Le premier juge a ensuite considéré que ces éléments, pris dans leur ensemble, constituaient un faisceau d'indices qui permettait de conclure que l'appelant était bel et bien le conducteur du véhicule contrôlé, malgré ses dénégations. Avec le premier juge et conformément à la jurisprudence rappelée ci-dessus, il y a lieu de retenir que l'appelant était tenu de fournir un minimum d'explications, tant en ce qui concerne sa présence à son</w:t>
      </w:r>
    </w:p>
    <w:p>
      <w:r>
        <w:t>- 14 - domicile au moment des faits que sur la mise à disposition de son véhicule à des tiers, sa qualité de détenteur constituant un indice important à même d'établir son implication, ce d'autant que son téléphone portable se trouvait dans l'habitacle à l'instant critique. Etant rentré à son domicile avec le véhicule concerné, l'appelant ne pouvait se contenter de dire qu'il était seul dans son jardin au moment des faits tout en déclarant n'avoir jamais questionné son épouse ou ses parents pour savoir qui aurait pu conduire son véhicule ce jour-là, immédiatement après lui. Comme l'a retenu l'autorité de première instance, l'appelant n'est pas crédible lorsqu'il affirme n'avoir posé aucune question à ses proches à ce sujet alors qu'il fait l'objet d'une procédure pénale dont il ne relativise pas l'importance des enjeux, ayant expliqué ne pas pouvoir se passer de son permis de conduire en raison de graves problèmes de santé qui lui interdiraient de prendre les transports publics (cf. procès-verbal de l'audience de jugement, p. 5, 3ème paragraphe). Si un tiers avait réellement conduit son véhicule comme il le soutient, l'appelant l'aurait inévitablement croisé en rentrant chez lui. A tout le moins, il en aurait déterminé aisément l'identité par la suite, probablement déjà au retour de son véhicule. Au vu du cercle extrêmement limité des personnes pouvant avoir accès à son véhicule, à savoir son épouse ou ses parents, l'appelant ne pouvait donc soutenir sérieusement à l'audience de jugement ne pas savoir qui aurait conduit sa voiture lors des faits. Ses déclarations sont dénuées de toute crédibilité à cet égard, même s'il pouvait invoquer les art. 168 et 169 CPP pour refuser de dévoiler l'identité de prétendus tiers impliqués. Au surplus, on peut mentionner que si le conducteur avait été un de ses amis, thèse qui doit également être écartée en raison l’absence de crédibilité des déclarations de l'appelant, ce dernier n'aurait pas été en droit de taire son identité, les articles 168 et 169 CPP n'étant pas applicables dans cette hypothèse, ce que ne pouvait ignorer son défenseur. Partant, les indices retenus par le premier juge pour fonder la culpabilité de l'appelant, appréciés dans leur ensemble, ne prêtent pas le flanc à la critique, de sorte que le verdict de culpabilité doit être confirmé.</w:t>
      </w:r>
    </w:p>
    <w:p>
      <w:r>
        <w:t>- 15 - Pour le surplus, il y a lieu de confirmer que l’excès de vitesse en cause, de 38 km/h hors localité, marge de sécurité déduite, remplit objectivement la condition du cas grave. Subjectivement, il faut considérer que l’appelant était parfaitement conscient de l’excès de vitesse qu’il commettait, respectivement du caractère dangereux de son comportement. La violation grave des règles de la circulation routière au sens de l’art. 90 al. 2 LCR, au demeurant non contestée, doit par conséquent être également confirmée. 4. 4.1 Concluant à son acquittement, l’appelant ne conteste pas la sanction infligée. Celle-ci sera néanmoins vérifiée d’office.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- 16 - pénale (ATF 142 IV 137 consid. 9.1 ; ATF 141 IV 61 consid. 6.1.1 et les références citées ; TF 6B_1463/2019 du 20 février 2020 consid. 2.1.1). 4.2.3 Selon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4.2.4 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w:t>
      </w:r>
    </w:p>
    <w:p>
      <w:r>
        <w:t>- 17 -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4.3 En l’espèce, il faut constater, avec le premier juge, que le lieu de l'excès de vitesse, à savoir une route hors localité généralement peu fréquentée, ne présente pas de risques particuliers. Par ailleurs, l’appelant n’a pas d’antécédents, ni d’inscription au casier judiciaire. Il n’existe ainsi pas de facteurs aggravants justifiant une peine plus lourde que celle qui s'impose pour l'immense majorité des conducteurs sanctionnés dans des circonstances similaires selon les Recommandations LCR adoptées par la Conférence des procureurs de Suisse et la Directive n° 5.1 du Procureur général, lesquelles – si elles n'ont pas force de loi et ne lient aucunement le juge pénal, comme l’a souligné le premier juge, permettent néanmoins d'assurer une certaine harmonisation des peines en matière de circulation routière –, prévoient une sanction de 30 jours-amende pour un dépassement compris entre 35 et 39 km/h hors localité, marge de sécurité déduite. La peine pécuniaire de 30 jours-amende prononcée par le premier juge peut donc être confirmée. Quant au montant du jour-amende fixé à 300 fr., celui-ci apparaît bien en-dessous des critères légaux applicables compte tenu de l’importance des revenus de l’appelant, qui atteignent 400'000 fr. par an. Elle doit cependant être confirmée en raison du principe de l’interdiction de la reformatio in pejus. L’octroi du sursis, et le délai d’épreuve de deux ans, ne prêtent en revanche pas le flanc à la critique. 5. Examinée d’office, l’amende prononcée à titre de sanction immédiate doit également être confirmée avec les mêmes observations que celles qui ont été formulées pour la peine pécuniaire.</w:t>
      </w:r>
    </w:p>
    <w:p>
      <w:r>
        <w:t>- 18 - 6. La condamnation étant confirmée, il n’y a pas lieu de modifier le sort des frais de la procédure de première instance, que le Tribunal de police était fondé à mettre à la charge de l'appelant en application de l’art. 426 al. 1, 1re phrase, CPP. Il n'y a en outre pas lieu d'allouer à ce dernier une indemnité au sens de l’art. 429 CPP, sa conclusion en ce sens étant dès lors également rejetée. 7. En définitive, l’appel doit être rejeté et le jugement du 19 mars 2021 confirmé. Vu l’issue de la cause, les frais d’appel, constitués en l’espèce de l’émolument d’arrêt, par 1’720 fr. (art. 21 al. 1 TFIP [Tarif des frais de procédure et indemnités en matière pénale du 28 septembre 2010 ; BLV 312.03.1]), seront mis à la charge de l’appelant, qui succombe (art. 428 al. 1 CPP). Par ces motifs, la Cour d’appel pénale, statuant en application des art. 34 al. 1 et 2, 42 al. 1 et 4, 44 al. 1, 47, 103 et 106 CP ; 90 al. 2 LCR et 398 ss CPP, prononce : I. L’appel est rejeté. II. Le jugement rendu le 19 mars 2021 par le Tribunal de police de l’arrondissement de La Côte est confirmé selon le dispositif suivant : "I. constate que X._______ s’est rendu coupable de violation grave des règles de la circulation routière ; II. condamne X._______ à une peine pécuniaire de 30 (trente) jours-amende à 300 fr. (trois cents francs) le jour, suspend l’exécution de la peine pécuniaire et impartit au condamné un délai d’épreuve de 2 (deux) ans ;</w:t>
      </w:r>
    </w:p>
    <w:p>
      <w:r>
        <w:t>- 19 - III. condamne X._______ à une amende de 1'800 fr. (mille huit cents francs), convertible en 6 (six) jours de peine privative de liberté de substitution en cas de non-paiement fautif ; IV. met les frais de procédure, par 4'415 fr. 80 (quatre mille quatre cent quinze francs et huitante centimes) à la charge de X._______; V. rejette toute autre conclusion." III. Les frais d'appel, par 1'720 fr. (mille sept cent vingt francs), sont mis à la charge de X._______. IV. Le jugement motivé est exécutoire. Le président : Le greffier : Du Le jugement qui précède, dont le dispositif a été communiqué par écrit aux intéressés le 16 septembre 2021, est notifié, par l'envoi d'une copie complète, à : - Me Jean-Emmanuel Rossel, avocat (pour X._______), - Ministère public central, et communiqué à : - M. le Vice-président du Tribunal de police de l'arrondissement de La Côte, - M. le Procureur de l'arrondissement de La Côte,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