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PE18.019734 vom 29. April 2019</w:t>
      </w:r>
    </w:p>
    <w:p>
      <w:r>
        <w:t>VD Tribunal cantonal, 2019-04-29, FR</w:t>
      </w:r>
    </w:p>
    <w:p>
      <w:r>
        <w:rPr>
          <w:b/>
        </w:rPr>
        <w:t xml:space="preserve">Quelle: </w:t>
      </w:r>
      <w:r>
        <w:t>https://mcp.opencaselaw.ch/entscheid/vd_gerichte_PE18.019734</w:t>
      </w:r>
    </w:p>
    <w:p>
      <w:r>
        <w:t>FR: VD_GERICHTE PE18.019734 du 29 avril 2019</w:t>
      </w:r>
    </w:p>
    <w:p>
      <w:r>
        <w:t>IT: VD_GERICHTE PE18.019734 del 29 aprile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résulte de ce qui précède que le recours de X.________ doit être admis et l'ordonnance entreprise réformée au chiffre III de son dispositif en ce sens que les frais de procédure, par 600 fr., sont laissés à la charge de l'Etat, l'ordonnance étant maintenue pour le surplus. Les frais de la procédure de recours, par 660 fr. (art. 20 al. 1 TFIP [tarif des frais de procédure et indemnités en matière pénale du 28 septembre 2010 ; BLV 312.03.1]), seront laissés à la charge de l'Etat (art. 423 al. 1 CPP).</w:t>
      </w:r>
    </w:p>
    <w:p>
      <w:r>
        <w:t>- 7 - Par ces motifs, le juge unique prononce : I. Le recours est admis. II. L'ordonnance du 8 janvier 2019 est réformée au chiffre III de son dispositif comme il suit : « III. Met les frais de procédure, par 600 fr., à la charge de l'Etat. » L'ordonnance est maintenue pour le surplus. III. Les frais de la procédure de recours, par 660 fr. (six cent soixante francs), sont laissés à la charge de l'Etat. IV. L’arrêt est exécutoire. Le juge unique : La greffière : Du Le présent arrêt, dont la rédaction a été approuvée à huis clos, est notifié, par l'envoi d'une copie complète, à : - M. X.________, - M. W.________, - Ministère public central, et communiqué à : - M. le Procureur de l'arrondissement de Lausanne, - Service de la population, division Etrangers (X.________, [...]1977, France), par l’envoi de photocopies.</w:t>
      </w:r>
    </w:p>
    <w:p>
      <w:r>
        <w:t>- 8 -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