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PE18.019322 vom 24. Juni 2021</w:t>
      </w:r>
    </w:p>
    <w:p>
      <w:r>
        <w:t>VD Tribunal cantonal, 2021-06-24, FR</w:t>
      </w:r>
    </w:p>
    <w:p>
      <w:r>
        <w:rPr>
          <w:b/>
        </w:rPr>
        <w:t xml:space="preserve">Quelle: </w:t>
      </w:r>
      <w:r>
        <w:t>https://mcp.opencaselaw.ch/entscheid/vd_gerichte_PE18.019322</w:t>
      </w:r>
    </w:p>
    <w:p>
      <w:r>
        <w:t>FR: VD_GERICHTE PE18.019322 du 24 juin 2021</w:t>
      </w:r>
    </w:p>
    <w:p>
      <w:r>
        <w:t>IT: VD_GERICHTE PE18.019322 del 24 giugno 2021</w:t>
      </w:r>
    </w:p>
    <w:p>
      <w:pPr>
        <w:pStyle w:val="Heading2"/>
      </w:pPr>
      <w:r>
        <w:t>Erwägungen</w:t>
      </w:r>
    </w:p>
    <w:p>
      <w:r>
        <w:rPr>
          <w:b/>
        </w:rPr>
        <w:t>E. 2</w:t>
      </w:r>
    </w:p>
    <w:p>
      <w:r>
        <w:t>1) A Lausanne, Neuchâtel et Delémont notamment, entre le 1er janvier 2011 et le 10 août 2020, A.A.________ a séjourné en Suisse quand bien même il ne disposait d’aucune autorisation, sous réserve de la période du 8 février 2018 au 2 octobre 2018, période durant laquelle son séjour était toléré en vue du mariage.</w:t>
      </w:r>
    </w:p>
    <w:p>
      <w:r>
        <w:t>- 13 - 2) A Bâle (gare frontalière), le 15 janvier 2016, A.A.________ a quitté la Suisse pour l’Allemagne quand bien même il ne disposait pas des documents de voyage ou d’un VISA le lui permettant. 3) A Bâle (gare frontalière), le 15 janvier 2017, A.A.________ est entré en Suisse quand bien même il ne disposait pas des documents de voyage ou d’un VISA le lui permettant. 4) A Lausanne, [...], le 23 septembre 2018, A.A.________ a traité son épouse B.A.________ de « pute ». 5) A Lausanne notamment, à plusieurs dates indéterminées, entre le 1er juin et le 31 août 2018, A.A.________ a régulièrement menacé B.A.________ de mort avec des propos indéterminés au cours de différentes disputes et a également menacé de la frapper au moyen d’une ceinture à une occasion. A une reprise, il a saisi un petit couteau à steak et l'a posé sur sa propre gorge, tout en menaçant de se la trancher. 6) A Lausanne, [...], le 23 septembre 2018, vers 18h30, au cours d’une dispute, A.A.________ a cassé une tasse en verre et menacé B.A.________ en brandissant dans sa direction un morceau brisé et tranchant de cet objet. 7) A Lausanne, [...], le 27 septembre 2018, A.A.________ a brandi un couteau et menacé de mort B.A.________ avec des propos indéterminés, au cours d’une dispute durant laquelle il l’a également giflée. 8) A Lausanne, [...], à plusieurs dates indéterminées, entre le 1er et le 30 septembre 2018, A.A.________ s’en est pris physiquement à B.A.________ sans toutefois la blesser, en lui lançant une cuillère à soupe sur la joue et le cou et à une autre reprise une fourchette sur la joue gauche.</w:t>
      </w:r>
    </w:p>
    <w:p>
      <w:r>
        <w:t>- 14 - 9) A Lausanne, le 1er octobre 2018, A.A.________ a envoyé à son épouse un message indiquant en arabe « je suis quelqu’un de bonne famille et il ne faut pas jouer avec moi, et si tu veux détruire ou annuler mes papiers, tu seras punie de Dieu. Tu es libre quand tu veux et si je ne reviens pas chez moi aujourd’hui, je ne reviens plus jamais et je tiens ma parole ». Il lui a envoyé un second message disant en arabe « je ne me suis pas marié pour rester dans la rue ».</w:t>
      </w:r>
    </w:p>
    <w:p>
      <w:r>
        <w:rPr>
          <w:b/>
        </w:rPr>
        <w:t>E. 3</w:t>
      </w:r>
    </w:p>
    <w:p>
      <w:r>
        <w:t>Il a également été reproché à A.A.________ de s’être fait remettre, en août 2019, par un inconnu un téléphone portable qui avait été dérobé en 2012 (cas 4 de l’acte d’accusation). Le Tribunal de police a toutefois libéré le prévenu du chef d’accusation de recel, considérant qu’au vu de l’ancienneté du téléphone et de sa faible valeur résiduelle, A.A.________ ne pouvait guère savoir ou imaginer que cet appareil provenait d’un vol et qu’il n’avait pas à procéder à des investigations particulières. En d roit : 1. Interjeté dans les formes et délais légaux (art. 399 CPP), par la plaignante ayant la qualité pour recourir contre le jugement d'un tribunal de première instance qui a clos la procédure (art. 398 al. 1 CPP), l'appel de B.A.________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- 15 -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et les références citées ; TF 6B_386/2019 du 25 septembre 2019 consid. 2.1 et les références citées).</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w:t>
      </w:r>
    </w:p>
    <w:p>
      <w:r>
        <w:t>- 16 -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3.3</w:t>
      </w:r>
    </w:p>
    <w:p>
      <w:r>
        <w:t>En l’espèce, il ne semble guère probable que le Président du Tribunal de police ait conservé un souvenir précis des déclarations que lui a faites K.________ lors de la suspension d'audience (entre 10h55 et 11h06, cf. jugement p. 9). Quoi qu'il en soit, le conseil de la plaignante, présente lors de l'audition de K.________, a demandé à celle-ci pourquoi elle ne souhaitait pas être confrontée au prévenu, ce à quoi la témoin a répondu. Si le conseil de la plaignante soupçonnait que d'autres éléments aient pu être livrés au Tribunal de police pendant la suspension, elle devait s'en enquérir sur le siège, ce qu'elle n'a pas fait. Pour le surplus, la réponse de K.________ apparaît suffisante pour apprécier correctement la force probante de ses déclarations (cf. consid. 5.3 ci-dessous). Quant à l'audition d’Y.________, la plaignante indique qu’il s'agirait d'un cousin éloigné qui aurait été au courant des violences et des menaces qu’elle subissait si elle annulait son mariage avec le prévenu. Cette audition peut être refusée par appréciation anticipée des preuves, au vu du considérant 5.3 ci-dessous.</w:t>
      </w:r>
    </w:p>
    <w:p>
      <w:r>
        <w:t>- 17 -</w:t>
      </w:r>
    </w:p>
    <w:p>
      <w:r>
        <w:rPr>
          <w:b/>
        </w:rPr>
        <w:t>E. 4</w:t>
      </w:r>
    </w:p>
    <w:p>
      <w:r>
        <w:t>L'appelante invoque une violation de son droit d'être entendue. Elle considère que ce serait à tort que le Tribunal de police n’a pas donné suite à sa réquisition tendant à l'audition du témoin Y.________. Elle lui reproche également de ne pas avoir tenu compte de l'attestation médicale établie le 22 juin 2021 par le Dr [...] et la psychologue [...], alors que cette pièce avait été produite comme moyen de preuve lors des débats du 24 juin 2021 (cf. P. 56). Ces griefs n’ont toutefois pas de portée propre par rapport à ce qui a été exposé au considérant 3.3 ci-dessus.</w:t>
      </w:r>
    </w:p>
    <w:p>
      <w:r>
        <w:rPr>
          <w:b/>
        </w:rPr>
        <w:t>E. 5.1</w:t>
      </w:r>
    </w:p>
    <w:p>
      <w:r>
        <w:t>L'appelante se plaint ensuite d’une constatation incomplète et erronée des faits, ainsi que d’une appréciation arbitraire des preuves. Elle reproche au premier juge d’avoir considéré qu'aucun élément n'était apte à corroborer sa version des faits, celle-ci ayant évolué et étant contradictoire, et d’avoir retenu, au bénéfice du doute, celle du prévenu. L’appelante soutient qu’il serait normal qu’elle peine à restituer certains éléments dans le temps dès lors que près de trois ans s'étaient écoulés entre le dépôt de la plainte et l'ouverture des débats. Ses déclarations seraient non seulement corroborées par l’attestation médicale qu’elle a produite devant le Tribunal de police (P. 56), mais également par le témoignage de la voisine de palier du couple, J.________, (PV aud. 3). L’appelante soutient ensuite que les déclarations de K.________ devraient être appréciées avec retenue car ce témoin aurait peur du prévenu. Cela étant, son témoignage corroborerait sa version notamment parce qu’elle a expliqué avoir assisté à une dispute entre le prévenu et la plaignante ensuite du refus de cette dernière de donner de l’argent au prévenu pour qu’il s’achète des cigarettes. Enfin, l’appelante soutient que contrairement à ce qu’a retenu le premier juge, le message que le prévenu lui a adressé en écrivant, selon sa traduction (P. 18/1), que Dieu la détruirait si elle annulait leur mariage devrait être considéré comme une menace sérieuse.</w:t>
      </w:r>
    </w:p>
    <w:p>
      <w:r>
        <w:t>- 18 - Aux débats d’appel, le prévenu, par l’intermédiaire de son défenseur, a soutenu en substance que la plaignante aurait menti pour pouvoir divorcer plus rapidement, que ses déclarations seraient contradictoires, que le rapport médical dont elle se prévaut n’aurait qu’une force probante relative et que le témoignage de J.________, qui a dit avoir entendu des disputes dès l’été 2018, ne corroborerait pas les déclarations de la plaignante qui affirme que le couple se disputait déjà bien avant. Quant au message que le prévenu a envoyé à la plaignante, il reflèterait la culture des parties qui ferait régulièrement référence au divin et ne serait nullement constitutif d’une menace.</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w:t>
      </w:r>
    </w:p>
    <w:p>
      <w:r>
        <w:t>- 19 -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Les déclarations de la victime constituent un élément de preuve. Le juge doit, dans l'évaluation globale de l'ensemble des éléments</w:t>
      </w:r>
    </w:p>
    <w:p>
      <w:r>
        <w:t>- 20 -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5.3</w:t>
      </w:r>
    </w:p>
    <w:p>
      <w:r>
        <w:t>En l’espèce, aucun témoin direct des faits dont se plaint l’appelante n’a été entendu, à l'exception de K.________ s’agissant d’un épisode. Comme l’a retenu le Tribunal de police, il ne fait aucun doute que la vie conjugale des parties a été émaillée de disputes. Le couple s'est d'ailleurs rapidement séparé, soit le 2 octobre 2018, alors que leur mariage civil avait été célébré le 23 août 2018. Les parties s’étaient mariées religieusement en août 2017, peu après avoir été présentées l'une à l'autre (« ses amis lui ont demandé de me rencontrer et d’envisager de m’épouser […] elle n'était pas opposée […] je l’ai rencontrée fin juin début juillet 2017 » PV aud 1 I. 41 à 47). La témoin J.________, voisine de palier des parties, a déclaré devant le Ministère public que le couple se disputait fréquemment, parfois jusqu'à deux ou trois fois par semaine. Elle a indiqué avoir entendu un « aïe ». Il s'agissait d'un « petit aïe » non pas, comme semble l’avoir retenu le premier juge, parce que la souffrance de la plaignante semblait moindre, mais parce que la témoin en a déduit un éloignement de la victime par rapport au positionnement supposé des protagonistes dans l'appartement d'à côté (cf. PV aud. 3, I. 41). J.________ a déclaré avoir alors eu très peur pour la plaignante. Elle a également indiqué que les cris du prévenu étaient toujours plus forts que ceux de la plaignante. Pour sa part,</w:t>
      </w:r>
    </w:p>
    <w:p>
      <w:r>
        <w:t>- 21 - entendue par le premier juge, la témoin K.________ a expliqué qu’elle avait assisté à une « petite dispute » entre les parties pour une question de cigarettes et qu’elle n’avait pas été témoin de gestes ou de violences physiques ni de menaces. Les déclarations de ce témoin doivent toutefois être appréciées avec retenue. En effet, K.________ a demandé à ne pas être confrontée au prévenu et exprimé de façon explicite être en soucis par rapport aux conséquences de son témoignage. Par ailleurs, elle a affirmé qu’elle ne comprenait pas pourquoi elle venait témoigner et qu'il y avait des disputes dans tous les couples, ce dont on peut déduire qu'elle n'adhère pas au fait que l'intimité d’un couple soit livrée à la justice. Elle a également expliqué qu'elle savait que la plaignante avait des problèmes au point d’accepter de l’héberger durant plusieurs jours mais a contesté qu’elles étaient des amies proches, ce qui est pour le moins contradictoire avec l'ensemble de son témoignage. Dans ces circonstances, le fait que ce témoin évoque de petites disputes et qu'elle les considère comme usuelles ne paraît pas déterminant. En définitive, on déduit de l'appréciation des deux témoignages précités qu'il y avait au sein du couple de fréquentes disputes avec un niveau sonore élevé et qu'elles n'étaient pas que verbales. S'agissant de la crédibilité des parties, le prévenu a nié les faits que lui reproche la plaignante dans leur globalité (« ma femme et moi n'avons pas de problèmes », « je m'occupe bien de ma femme » PV aud. 1 p. 2 ; « Si ce n’était pas le cas pourquoi serait-elle restée avec moi une année et demie ? », « pourquoi [parle-t-elle] des insultes, alors qu’aucune femme qui se respecte ne tolère des insultes ? », « j’ai été tout à fait normal avec elle » jugement attaqué, p. 11-12), expliquant néanmoins que s'il y avait quelques tensions, ce serait à cause de la belle-famille qui ne l'acceptait pas (PV aud. 1 p. 3). Il a également affirmé que B.A.________ avait déposé plainte contre lui pour qu’il quitte la Suisse, en précisant qu’elle aurait « toujours la mentalité de chez [eux] » et qu’elle n’arriverait pas à se développer. Ses déclarations sont en porte-à-faux avec le résultat de l'audition des témoins. De plus, on ne peut rien déduire de la constance de ses déclarations dès lors qu'elles n'ont consisté qu'en un déni</w:t>
      </w:r>
    </w:p>
    <w:p>
      <w:r>
        <w:t>- 22 - généralisé. Globalement, le prévenu apparaît peu crédible, ayant déclaré de multiples identités avec deux nationalités différentes. Pour sa part, la plaignante est prise en charge par un psychiatre depuis le 5 mars 2020. L’attestation médicale qu’elle a produite (P. 56) fait état d'un affaiblissement de son état de santé lié au conflit, ce qui pourrait certes également être le cas d'une séparation qui ne serait pas précédée de violences conjugales ou de menaces. Cependant, le médecin traitant de la plaignante affirme qu’elle souffre d’un « épisode dépressif moyen (F 32.1) » et qu'elle lui a rapporté avoir été menacée à maintes reprises et avoir subi des violences physiques et psychologiques dès sa rencontre avec le prévenu. S'il ne s'agit que d'éléments rapportés, ils sont néanmoins associés à une pathologie symptomatique importante qui démontre que le ressenti de la plaignante est compatible avec les événements qu'elle a décrits. Avant l’audience d’appel, la plaignante a été entendue à trois reprises, soit lors du dépôt de plainte le 1er octobre 2018, par le procureur le 26 octobre 2018 et par le premier juge le 24 juin 2021. Ce dernier a considéré que ses déclarations n’avaient pas été constantes. Il a relevé que lors des débats, elle n’avait pas situé correctement dans le temps plusieurs événements. Elle avait fait état de quatre épisodes lors desquels le prévenu se serait saisi d’un couteau dans le but de la menacer ou de lui faire peur, alors qu’elle n’avait jusque-là rapporté que deux épisodes. S’agissant des faits du 27 septembre 2018, elle avait fait état d’une gifle lors de son audition le 26 octobre 2018 et aux débats alors qu’elle n’en avait pas fait état dans sa plainte du 2 octobre 2018. Quant à la tasse en verre, elle avait indiqué devant le Ministère public que le prévenu l’avait jetée au sol, avant d’en ramasser un morceau pour la menacer, alors qu’elle avait indiqué aux débats que le prévenu l’avait cassée contre sa tête, avant de la jeter par terre. De manière nouvelle, la plaignante avait en outre indiqué aux débats qu’il y avait eu plusieurs personnes qui avaient assisté à la scène du 23 septembre 2018, alors que celle-ci avait manifestement été présentée comme un huis clos lors de son audition du 26 octobre 2018. Enfin, alors qu’elle avait déclaré lors du dépôt de sa</w:t>
      </w:r>
    </w:p>
    <w:p>
      <w:r>
        <w:t>- 23 - plainte que tout se passait bien au début de leur mariage religieux, elle a indiqué aux débats qu’il n’en était rien et que le contexte violent avait existé dès le mariage religieux célébré, en août 2017, et ce jusqu’à la séparation du couple en septembre 2018. La Cour de céans ne partage pas l’appréciation du Tribunal de police et considère, au contraire, que la plaignante a été constante dans ses déclarations, même si elle a parfois confondu des événements, qu’elle « a sauté du coq à l’âne » comme lorsqu’elle a relaté les événements du mois de juin 2018 alors que le Ministère public l’interrogeait sur ceux du 27 septembre 2018 (PV 1 I. 49 ss) ou qu’elle a évoqué d’autres actes de violence devant le premier juge. Cela ne remet pas pour autant en cause sa crédibilité et relève plutôt de son fonctionnement intellectuel voire d'une confusion en raison du nombre d'épisodes. Quant à la présence d’autres personnes lors d’une dispute, elle a également été évoquée par le prévenu lui-même lors de sa première audition (PV aud. 1 l. 71-72). Par ailleurs, certains des dires de la plaignante, constants, sont corroborés par d'autres éléments. D’une part, le fait que le prévenu se mettait en colère lorsqu’elle refusait de lui donner de l'argent pour acheter des cigarettes a été mis en avant par la témoin K.________. D’autre part, les menaces liées aux velléités de la plaignante de mettre un terme au mariage ont été retranscrites dans un message aux termes duquel le prévenu menace la plaignante de punition divine (cf. P. 18/1, traduit à l’audience de jugement en page 8). Contrairement à ce qu'a retenu le premier juge, cette menace, mise par écrit, ne fait pas simplement référence à la manière dont le Divin apprécierait le comportement de la victime mais bien à l'éventualité qu'elle pourrait être punie, si elle venait à prendre la décision d'annuler le mariage, ce qui doit être mis en relation avec les menaces de mort qui avaient été proférées par oral par le prévenu. Ainsi, en présence, d'une part, d'un témoignage qui atteste d’altercations fréquentes et, d'autre part, d'un prévenu peu crédible qui se contente de tout nier en bloc et d'une version cohérente et constante de la victime, qui n'a par ailleurs jamais cherché à accabler le prévenu – sa plainte a été déposée après que la voisine a finalement appelé la police (P.</w:t>
      </w:r>
    </w:p>
    <w:p>
      <w:r>
        <w:t>- 24 - 5/1 p. 3) –, il y a lieu de donner crédit aux déclarations de B.A.________ et de tenir pour avérés les faits tels que décrits dans l'acte d'accusation, sous réserve du message en arabe qui doit être traduit différemment (cf. traduction de l’interprète en page 8 du jugement attaqué).</w:t>
      </w:r>
    </w:p>
    <w:p>
      <w:r>
        <w:rPr>
          <w:b/>
        </w:rPr>
        <w:t>E. 6.1.1</w:t>
      </w:r>
    </w:p>
    <w:p>
      <w:r>
        <w:t>et les références citées ; TF 6B_183/2021 du 27 octobre 2021 consid. 1.3).</w:t>
      </w:r>
    </w:p>
    <w:p>
      <w:r>
        <w:rPr>
          <w:b/>
        </w:rPr>
        <w:t>E. 6.1.2</w:t>
      </w:r>
    </w:p>
    <w:p>
      <w:r>
        <w:t>Aux termes de l'art. 177 al. 1 CP, celui qui, de toute autre manière, aura, par la parole, l'écriture, l'image, le geste ou par des voies de fait, attaqué autrui dans son honneur sera, sur plainte, puni d'une peine pécuniaire de 90 jours-amende au plus.</w:t>
      </w:r>
    </w:p>
    <w:p>
      <w:r>
        <w:rPr>
          <w:b/>
        </w:rPr>
        <w:t>E. 6.1.3</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(art. 180 al. 2 let. a CP). La menace suppose que l'auteur ait volontairement fait redouter à sa victime la survenance d'un préjudice, au sens large (ATF 122 IV 97 consid. 2b). Elle constitue un moyen de pression psychologique</w:t>
      </w:r>
    </w:p>
    <w:p>
      <w:r>
        <w:t>- 25 - consistant à annoncer un dommage futur dont la réalisation est présentée comme dépendante de la volonté de l'auteur, sans toutefois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6B_135/2021 du 27 septembre 2021 consid. 3.1). Subjectivement, l'auteur doit avoir l'intention non seulement de proférer des menaces graves, mais aussi d'alarmer ou d'effrayer le destinataire. Le dol éventuel suffit (TF 6B_135/2021 précité consid. 3.1 et les références citées).</w:t>
      </w:r>
    </w:p>
    <w:p>
      <w:r>
        <w:rPr>
          <w:b/>
        </w:rPr>
        <w:t>E. 6.1.4</w:t>
      </w:r>
    </w:p>
    <w:p>
      <w:r>
        <w:t>Se rend coupable de contrainte selon l'art. 181 celui qui, en usant de violence envers une personne ou en la menaçant d'un dommage sérieux, ou en l'entravant de quelque manière dans sa liberté d'action, l'aura obligée à faire, ne pas faire ou à laisser faire un acte. Le bien juridique protégé par cette disposition est la liberté d'action, plus particulièrement la libre formation et le libre exercice de la volonté (ATF 141 IV 1 consid. 3.3.1 et la réf. cit.). Sur la notion de menace, on peut se référer au considérant qui précède.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consid. 2a/aa ; voir également TF 6B_974/2018</w:t>
      </w:r>
    </w:p>
    <w:p>
      <w:r>
        <w:t>- 26 - du 20 décembre 2018 consid. 3.1). Sur le plan subjectif, il faut que l'auteur ait agi intentionnellement, c'est-à-dire qu'il ait voulu contraindre la victime à adopter le comportement visé en étant conscient de l'illicéité de son comportement ; le dol éventuel suffit (ATF 120 IV 17 consid. 2c). 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(TF 6B_54/2011 du 26 avril 2011 consid. 2.2.2). Lorsque la victime ne se laisse pas intimider et n'adopte pas le comportement voulu par l'auteur, ce dernier est punissable de tentative de contrainte (ATF 129 IV 262 consid. 2.7 ; ATF 106 IV 125 consid. 2b ; TF 6B_974/2018 précité consid. 3.1).</w:t>
      </w:r>
    </w:p>
    <w:p>
      <w:r>
        <w:rPr>
          <w:b/>
        </w:rPr>
        <w:t>E. 6.2</w:t>
      </w:r>
    </w:p>
    <w:p>
      <w:r>
        <w:t>En l’espèce, en giflant son épouse et en lui lançant des ustensiles de ménage au visage, le prévenu s'est rendu coupable de voies de fait. En la traitant de pute, il s'est rendu coupable d'injure. En posant un couteau sous sa propre gorge, en enlevant la ceinture de son pantalon et en menaçant de la frapper avec celle-ci, ainsi qu’en utilisant un morceau de tasse brisé et tranchant avant de le brandir en direction de la plaignante en la menaçant, il s'est rendu coupable de menaces. Enfin, en menaçant la plaignante de punition divine si elle annulait leur mariage, il s’est rendu coupable de tentative de contrainte.</w:t>
      </w:r>
    </w:p>
    <w:p>
      <w:r>
        <w:rPr>
          <w:b/>
        </w:rPr>
        <w:t>E. 7.1</w:t>
      </w:r>
    </w:p>
    <w:p>
      <w:r>
        <w:t>Aux débats d’appel, A.A.________ a soutenu que l’infraction de voies de fait serait prescrite.</w:t>
      </w:r>
    </w:p>
    <w:p>
      <w:r>
        <w:rPr>
          <w:b/>
        </w:rPr>
        <w:t>E. 7.2</w:t>
      </w:r>
    </w:p>
    <w:p>
      <w:r>
        <w:t>Aux termes de l’art. 109 CP, l’action pénale s’agissant d’une contravention se prescrit par trois ans.</w:t>
      </w:r>
    </w:p>
    <w:p>
      <w:r>
        <w:t>- 27 - Selon l’art. 97 al. 3 CP, la prescription de l’action pénale ne court plus si, avant son échéance, un jugement de première instance a été rendu. Selon la jurisprudence, il faut entendre par jugement de première instance, au-delà duquel la prescription ne court plus, un jugement de condamnation ou d'acquittement (ATF 147 IV 274 consid. 1.2 ; ATF 143 IV 450 consid 1.2 ; ATF 139 IV 62 consid. 1.5 ).</w:t>
      </w:r>
    </w:p>
    <w:p>
      <w:r>
        <w:rPr>
          <w:b/>
        </w:rPr>
        <w:t>E. 7.3</w:t>
      </w:r>
    </w:p>
    <w:p>
      <w:r>
        <w:t>En l’occurrence, punissable d’une amende, l’infraction de voies de fait est une contravention (art. 103 et 126 CP). Elle se prescrit donc par trois ans (art. 109 CP). Ce délai, qui courait en l’espèce depuis septembre 2018, n’était pas encore échu à la date du jugement du 24 juin 2021 acquittant l’intimé. Or, en application de l’art. 97 al. 3 CP, la prescription a cessé de courir au moment du jugement d’acquittement. Ainsi, contrairement à ce que soutient l’intimé, l’action pénale n’est pas prescrite. Le grief doit être rejeté.</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- 28 - professionnelle, risque de récidive, etc.), sa vulnérabilité face à la peine, de même que son comportement après l’acte et au cours de la procédure pénale (ATF 142 IV 137 consid. 9.1, JdT 2016 I 169 ; ATF 141 IV 61 consid.</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w:t>
      </w:r>
    </w:p>
    <w:p>
      <w:r>
        <w:t>- 29 - atténuantes. Dans un second temps, il augmentera cette peine pour sanctionner chacune des autres infractions, en tenant là aussi compte de toutes les circonstances y relatives (ATF 144 IV 313 précité consid. 1.1.2 ; TF 6B_776/2019 précité).</w:t>
      </w:r>
    </w:p>
    <w:p>
      <w:r>
        <w:rPr>
          <w:b/>
        </w:rPr>
        <w:t>E. 8.1.3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w:t>
      </w:r>
    </w:p>
    <w:p>
      <w:r>
        <w:rPr>
          <w:b/>
        </w:rPr>
        <w:t>E. 8.2</w:t>
      </w:r>
    </w:p>
    <w:p>
      <w:r>
        <w:t>La culpabilité du prévenu est lourde. Il n'est pas un délinquant primaire. Il multiplie les infractions et continue à nier les faits qui lui sont reprochés. Il a porté son dévolu sur une femme qui était susceptible de lui offrir un statut de séjour en Suisse. Il a vécu à ses crochets et s'est montré menaçant dès que le mariage a été officialisé, sans égard pour elle, utilisant des moyens illicites pour essayer de la contraindre à maintenir le lien conjugal malgré ses velléités d'y mettre un terme. Il n'a pas hésité à changer d'identité et de nationalité au gré des conjonctures. Il n’a manifesté aucune empathie envers la victime, n’a reconnu ni ses souffrances ni sa peur et s’est contenté d’affirmer qu’elle avait « toujours une mentalité de chez [eux] » et qu’elle était incapable de se développer, avant de rejeter l'entier des problèmes de son couple sur sa belle-famille. Concluant à son acquittement, le prévenu n’a invoqué aucun élément à prendre en compte à sa décharge. Il sera dès lors tenu compte de sa situation personnelle telle que retenue dans l’état de fait. Le prévenu est en définitive reconnu coupable de voies de fait qualifiées, injure, menaces qualifiées, tentative de contrainte, entrée illégale, entrée illégale à l’étranger et séjour illégal. Passibles d'une peine privative de liberté de 3 ans, les menaces ainsi que la tentative de contrainte constituent les infractions les plus graves et seront sanctionnées d’une peine privative de liberté de 5 mois. Pour sanctionner les infractions à la loi fédérale sur les étrangers et l’intégration, le premier</w:t>
      </w:r>
    </w:p>
    <w:p>
      <w:r>
        <w:t>- 30 - juge a condamné le prévenu à 120 jours-amende ainsi qu’à une amende de 300 francs. La quotité de la peine pécuniaire doit être augmentée de 30 jours pour tenir compte des injures, de même que l’amende doit être augmentée à 1'000 fr. pour tenir compte des voies de fait. Cette amende sera convertible en 10 jours de peine privative de liberté de substitution en cas de non-paiement fautif dans le délai imparti. Enfin, comme l’a retenu le Tribunal de police, le pronostic s’agissant du comportement futur du prévenu n’est pas défavorable, de sorte qu’un sursis avec un délai d’épreuve de deux ans peut lui être octroyé.</w:t>
      </w:r>
    </w:p>
    <w:p>
      <w:r>
        <w:rPr>
          <w:b/>
        </w:rPr>
        <w:t>E. 9</w:t>
      </w:r>
    </w:p>
    <w:p>
      <w:r>
        <w:t>L’appelante, qui a conclu à l’allocation d’une indemnité pour tort moral de 2'000 fr., sera renvoyée à agir devant le juge civil pour faire valoir ses prétentions civiles.</w:t>
      </w:r>
    </w:p>
    <w:p>
      <w:r>
        <w:rPr>
          <w:b/>
        </w:rPr>
        <w:t>E. 10</w:t>
      </w:r>
    </w:p>
    <w:p>
      <w:r>
        <w:t>Les frais de procédure de première instance, qui s’élèvent à 15'655 fr. 65 et qui comprennent tant l’indemnité due à Me Kathleen Hack, défenseur d'office du prévenu, que celle due à Me Cyrielle Kern, conseil d’office de la plaignante, seront entièrement mis à la charge d’A.A.________ en application de l’art. 426 al. 2 CPP. Si celui-ci demeure certes libéré du chef de prévention de recel, force est toutefois de constater qu’il a provoqué, de manière illicite et fautive, l’ouverture de la procédure à son encontre.</w:t>
      </w:r>
    </w:p>
    <w:p>
      <w:r>
        <w:rPr>
          <w:b/>
        </w:rPr>
        <w:t>E. 11</w:t>
      </w:r>
    </w:p>
    <w:p>
      <w:r>
        <w:t>Le prévenu réclame une indemnité pour le dommage économique subi au titre de sa participation obligatoire à la procédure pénale au sens de l’art. 429 let. b CPP en produisant les billets de train qu’il a achetés pour se présenter aux débats d’appel. Compte tenu de sa condamnation, cette conclusion doit être rejetée.</w:t>
      </w:r>
    </w:p>
    <w:p>
      <w:r>
        <w:rPr>
          <w:b/>
        </w:rPr>
        <w:t>E. 12</w:t>
      </w:r>
    </w:p>
    <w:p>
      <w:r>
        <w:t>En définitive, l’appel de B.A.________ doit être admis et le jugement entrepris réformé dans le sens des considérants qui précèdent. Il n’y a pas lieu de s’écarter des listes d’opérations produites par Mes Kathleen Hack et Cyrielle Kern. Les débours seront pour leur part indemnisés sur une base forfaitaire, à concurrence de 2 % du montant des</w:t>
      </w:r>
    </w:p>
    <w:p>
      <w:r>
        <w:t>- 31 - honoraires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Kathleen Hack pour la procédure d’appel sera par conséquent fixée à 1’286 fr. (1’053 fr. [honoraires] + 21 fr. 05 [débours] + 120 fr. [vacation] + 91 fr. 95 [TVA]). L’indemnité due à Me Cyrielle Kern sera pour sa part fixée à 2'093 fr. 45 (1’788 fr. [honoraires] + 35 fr. 75 [débours] + 120 fr. [vacation] + 149 fr. 65 [TVA]). Vu l'issue de la cause, les frais de la procédure d'appel, par 6'199 fr. 45, constitués en l’espèce de l'émolument de jugement, par 2’820 fr. (art. 21 al. 1 et 2 TFIP), ainsi que des indemnités d’office précitées, par 3'379 fr. 45, seront mis à la charge d’A.A.________, qui succombe (art. 428 al. 1 CPP). A.A.________ ne sera tenu de rembourser à l’Etat le montant de l’indemnité en faveur de son défenseur d’office que lorsque sa situation financière le permettra (art. 135 al. 4 CPP). Par ces motifs, appliquant les articles 34, 40, 42, 44, 47, 49 al. 1 et 2, 50, 51, 126 al. 1 et 2 let. b, 177, 180 al. 1 et 2 let. a, 22 ad 181 CP, 115 al. 1 let. a et b et 115 al. 2 LEI, et 398 ss CPP, prononce : I. L’appel est admis. II. Le jugement rendu le 24 juin 2021 par le Tribunal de police de l’arrondissement de Lausanne est modifié comme il suit aux chiffres I à III, V et X à XII de son dispositif, le dispositif du jugement étant désormais le suivant :</w:t>
      </w:r>
    </w:p>
    <w:p>
      <w:r>
        <w:t>- 32 - I. libère A.A.________ du chef d’accusation de recel ; II. constate qu’A.A.________ s’est rendu coupable de voies de fait qualifiées, injure, menaces qualifiées, tentative de contrainte, entrée illégale, entrée illégale à l’étranger et séjour illégal ; III. condamne A.A.________ à une peine privative de liberté de 5 (cinq) mois et à une peine pécuniaire de 150 (cent- cinquante) jours-amende, le montant du jour-amende étant fixé à 30 fr. (trente francs), sous déduction d’1 (un) jour de détention provisoire subi, peine complémentaire à celle prononcée le 15 avril 2021 par le Ministère public du canton de Neuchâtel ; IV. suspend l’exécution de la peine fixée sous chiffre III ci- dessus et fixe la durée du délai d’épreuve à 2 (deux) ans ; V. condamne A.A.________ à une amende de 1’000 fr. (mille francs), convertible en 10 (dix) jours de peine privative de liberté de substitution en cas de non- paiement fautif dans le délai imparti ; VI. renvoie B.A.________ à faire valoir d’éventuelles prétentions civiles devant le juge civil ; VII. ordonne le maintien au dossier à titre de pièce à conviction du CD contenant deux vidéos du mariage d’A.A.________ et de B.A.________ inventorié sous fiche de pièce à conviction n° 24414 ; VIII.arrête l’indemnité de Me Kathleen Hack, défenseur d’office d’A.A.________, à 4'920 fr., TVA et débours compris ; IX. arrête l’indemnité de Me Cyrielle Kern, défenseur d’office de B.A.________, à 6'290 fr., TVA et débours compris ; X. supprimé ; XI. met les frais de justice, par 15'655 fr. 65, y compris les indemnités allouées aux défenseur et conseil d’office aux chiffres VIII et IX ci-dessus, à la charge</w:t>
      </w:r>
    </w:p>
    <w:p>
      <w:r>
        <w:t>- 33 - d’A.A.________ et dit que le montant de l’indemnité allouée au défenseur d’office du condamné ne sera exigible que lorsque la situation financière de celui-ci le lui permettra ; XII. supprimé. III. Une indemnité de défenseur d'office pour la procédure d'appel d'un montant de 1’286 fr., TVA et débours inclus, est allouée à Me Kathleen Hack. IV. Une indemnité de conseil d'office pour la procédure d'appel d'un montant de 2’093 fr. 45, TVA et débours inclus, est allouée à Me Cyrielle Kern. V. Les frais d'appel, par 6’199 fr. 45, y compris les indemnités allouées au défenseur et au conseil d'office sous chiffres III et IV ci-dessus, sont mis à la charge d’A.A.________. VI. L’indemnité de défense d’office allouée à Me Kathleen Hack au chiffre III ci-dessus est remboursable à l’Etat de Vaud par le condamné dès que sa situation financière le permet. VII. Le jugement motivé est exécutoire. La présidente : La greffière : Du</w:t>
      </w:r>
    </w:p>
    <w:p>
      <w:r>
        <w:t>- 34 - Le jugement qui précède, dont le dispositif a été communiqué par écrit aux intéressés le 24 novembre 2021, est notifié, par l'envoi d'une copie complète, à : - Me Cyrielle Kern, avocate (pour B.A.________), - Me Kathleen Hack, avocate (pour A.A.________), - Ministère public central, et communiqué à : - M. le Président du Tribunal de police de l’arrondissement de Lausanne, - M. le Procureur de l'arrondissement de Lausanne, - M. H.________,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- 35 -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