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PE18.018999 vom 1. April 2021</w:t>
      </w:r>
    </w:p>
    <w:p>
      <w:r>
        <w:t>VD Tribunal cantonal, 2021-04-01, FR</w:t>
      </w:r>
    </w:p>
    <w:p>
      <w:r>
        <w:rPr>
          <w:b/>
        </w:rPr>
        <w:t xml:space="preserve">Quelle: </w:t>
      </w:r>
      <w:r>
        <w:t>https://mcp.opencaselaw.ch/entscheid/vd_gerichte_PE18.018999</w:t>
      </w:r>
    </w:p>
    <w:p>
      <w:r>
        <w:t>FR: VD_GERICHTE PE18.018999 du 1 avril 2021</w:t>
      </w:r>
    </w:p>
    <w:p>
      <w:r>
        <w:t>IT: VD_GERICHTE PE18.018999 del 1 aprile 2021</w:t>
      </w:r>
    </w:p>
    <w:p>
      <w:pPr>
        <w:pStyle w:val="Heading2"/>
      </w:pPr>
      <w:r>
        <w:t>Erwägungen</w:t>
      </w:r>
    </w:p>
    <w:p>
      <w:r>
        <w:rPr>
          <w:b/>
        </w:rPr>
        <w:t>E. 50</w:t>
      </w:r>
    </w:p>
    <w:p>
      <w:r>
        <w:t>% soit exigé (ATF 133 IV 1 consid. 5.1 ; ATF 121 IV 67 consid. 2b ; TF 6B_144/2019 du 17 mai 2019 consid. 3.1 ; TF 6B_876/2015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3.2.4 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w:t>
      </w:r>
    </w:p>
    <w:p>
      <w:r>
        <w:t>- 20 - 2b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Lorsque la victime est menacée de l’accomplissement d’une infraction, par exemple de lésions corporelles, puis que cette infraction est également réalisée, il y a concours imparfait (Dupuis et alii [éd.], Code pénal, Petit commentaire, 2e éd., Bâle 2017, n. 28 ad art. 180 CP). L’art. 180 CP n’est pas applicable, lorsque la menace et l’autre infraction ont été commises à un intervalle suffisamment court pour que l’on puisse considéré qu’il s’agit d’une seule action ; c’est notamment le cas lorsque l’auteur menace la victime avec un couteau et en fait usage peu après (Dupuis et alii [éd.], op. cit., n. 28 ad art. 180 CP et la référence citée). 3.3 3.3.1 En l’occurrence, le prévenu et la serveuse admettent que le plaignant était ce soir-là un client pénible, qui soutenait qu’on lui facturait plus de boissons qu’il n’en buvait, était mécontent de ses pertes au Tactilo, draguait lourdement la serveuse, etc. Le prévenu avait donc un mobile pour le geste qui lui est imputé, et, effectivement, quand on veut impressionner un client pénible, lui dire qu’on va tirer et le faire avec une arme qui ne tue en principe pas, n’a rien de contradictoire. De plus, on sait que le prévenu est capable de menacer une personne avec un pistolet d’alarme puisqu’il l’a déjà fait, et qu’il a déjà eu affaire à la police à cause de cela. On notera qu’il a dit qu’il aurait bien voulu être policier. Il était</w:t>
      </w:r>
    </w:p>
    <w:p>
      <w:r>
        <w:t>- 21 - donc logique qu’il se débarrasse de l’arme, appelle la police, demande à la serveuse de le couvrir au besoin et évoque spontanément le précédent, sauf à paraître immédiatement suspect. Le prévenu soutient que le plaignant l’a accusé faussement pour se venger du fait qu’il avait appelé la police parce que le plaignant aurait brisé la vitre de l’établissement. Si l’on suit cette hypothèse, il faut constater que c’est une histoire étonnante, si elle est inventée. Son caractère surprenant en renforce en réalité la crédibilité. Ce qui est également déterminant, c’est que le prévenu a déjà, dit-il, menacé une personne – son épouse – avec un pistolet d’alarme alors qu’il était en état d’ébriété. Le plaignant ne savait ni cela, ni même que le prévenu avait ou avait eu un pistolet d’alarme un jour. Le plaignant a des blessures importantes à la tête et à la main droite qui plaident vraiment en faveur de sa thèse d’un coup de feu sur la tempe gauche et d’une chute à droite et pas d’une conséquences d’un bris de vitre ; il n’y a pas de coupure. Le reste est sans doute dû à son interpellation par la police. On ne voit pas pourquoi, si le plaignant avait été blessé par quelqu’un d’autre, il préférerait dénoncer le patron de l’établissement qui se plaignait d’une vitre brisée plutôt que l’auteur de telles blessures. En outre, des particules dites « caractéristiques » ont été retrouvées dans le local, soit des traces qui ne peuvent avoir d’autre origine que les processus chimiques intervenants lors de l’explosion de l’amorce et/ou de la poudre lors d’un tir, ce qui ne s’explique pas selon la version du prévenu qui nie y avoir détenu un pistolet d’alarme. Le T-shirt de la victime recueilli dans le but spécifique d’être analysé comportait aussi des résidus de poudre « compatibles » et personne ne prétend qu’un policier aurait pu le contaminer. Par ailleurs, l’argumentation du plaignant concernant la signature chimique de ces résidus, différente de celle des munitions utilisées par la police, est aussi convaincante, et ne repose pas sur une « expertise privée », mais sur des informations officielles et des articles généraux.</w:t>
      </w:r>
    </w:p>
    <w:p>
      <w:r>
        <w:t>- 22 - Quant au témoignage de la serveuse, effectivement sujet à caution, on peut en tirer deux détails intéressants : d’abord elle admet avoir téléphoné à son patron à une heure du matin ; ensuite, elle signale qu’à un moment donné, avant de briser la vitre, le plaignant était « allongé au sol comme s’il dormait », ce qui corrobore la version du plaignant d’une perte de connaissance. On peut supposer que le choc du coup de feu explique le comportement ultérieur du plaignant et notamment sa résistance aux policiers, pour laquelle il s’est ensuite immédiatement excusé. Le motif des premiers juges selon lequel le plaignant n’avait pas réussi à dire quand le prévenu s’était saisi de l’arme est incompréhensible. Il faut donc retenir les faits de l’acte d’accusation. Le plaignant a subi des lésions corporelles causées par un tir intentionnel d’une arme, de sorte que ces lésions sont qualifiées. Le prévenu doit être reconnu coupable de cette infraction. 3.3.2 Au surplus, l’infraction de mise en danger de la vie d’autrui ne peut être retenue car il n’y a pas eu de mise en danger concrète de la vie du plaignant, mais seulement une mise en danger abstraite (cf. P. 12, p. 15). Quant à l’infraction de menaces, elle ne peut être retenue, celle-ci entrant en concours imparfait avec les lésions corporelles. 4. Le prévenu étant reconnu coupable, il doit supporter les frais de première instance (art. 426 al. 1 CPP). 5. 5.1 Le Ministère public a requis à l’encontre d’Y.________ une peine privative de liberté de 18 mois. Il fait valoir que le comportement du prévenu est aussi grave que dénué de sens, que celui-ci a continué de nier l’évidence et n’a montré aucune prise de conscience. Un sursis serait donc exclu.</w:t>
      </w:r>
    </w:p>
    <w:p>
      <w:r>
        <w:t>- 23 - 5.2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prévenu (cf. art. 2 al. 2 CP ; TF 6B_44/2020 du 16 septembre 2020 consid. 8.1 ; TF 6B_112/2018 du 27 septembre 2019 consid. 1.2 ; TF 6B_658/2017 du 30 janvier 2018 consid. 1.1).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w:t>
      </w:r>
    </w:p>
    <w:p>
      <w:r>
        <w:t>- 24 - n'existe aucun espoir que le sursis puisse avoir une quelconque influence sur l'auteur, la peine doit être exécutée intégralement (ATF 134 IV 1 consid. 5.3.1 ; arrêt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5.3 En l’occurrence, le prévenu se croit tout permis dans son établissement et entend y faire régner l’ordre à sa façon, disant d’ailleurs</w:t>
      </w:r>
    </w:p>
    <w:p>
      <w:r>
        <w:t>- 25 - apprécier la police et se considérant sans doute comme un justicier face à un client pénible. Ce comportement est effectivement extrêmement grave, tant un tenancier d’établissement public devrait être habitué aux clients éméchés avec les excès que cela entraîne généralement. Le prévenu a fait preuve d’un mépris complet pour la santé de la victime pour un motif complètement futile. Il a eu un comportement retors en procédure en tentant de se faire passer, lui, pour la victime, et c’est de mauvais augure pour apprécier une éventuelle prise de conscience qui, en effet, paraît nulle, surtout lorsqu’on se souvient qu’il avait déjà menacé son épouse de la même manière il y a de nombreuses années. D’un autre côté, le prévenu, arrivé en Suisse à l’adolescence, a quelque 50 ans et n’a quasiment pas d’antécédents à son casier judiciaire. Une peine privative de liberté de 12 mois paraît ainsi adéquate. S’agissant de la question du sursis, le pronostic est mitigé compte tenu du casier judiciaire de l’intéressé et de ses dénégations. Il y a lieu d’assortir la peine d’un sursis partiel portant sur 6 mois. Le délai d’épreuve sera fixé au maximum légal, soit à 5 ans, vu sa mentalité bien ancrée. 6. 6.1 E.________ a conclu à l’allocation d’une somme de 10'000 fr. en sa faveur, avec intérêt à 5 % l’an dès le 27 septembre 2018, à titre d’indemnité pour tort moral. 6.2 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w:t>
      </w:r>
    </w:p>
    <w:p>
      <w:r>
        <w:t>- 26 -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 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Le juge en proportionnera donc le montant à la gravité de l'atteinte subie et évitera que la somme accordée n'apparaisse dérisoire à la victime (ATF 125 III 269 consid. 2a; ATF 118 II 410 consid. 2a). Parmi les critères à prendre en ligne de compte, figurent notamment la durée et le pourcentage d’une éventuelle incapacité de travail, le diagnostic d’un état de stress post-traumatique, une hospitalisation, un suivi médical, une psychothérapie, la durée du dommage, l’éventuel lien de parenté ou de dépendance avec l’auteur (Stéphanie Converset, Aide aux victimes d’infractions et réparation du dommage, p. 297-300, Genève, éd. Schulthess 2009). 6.3 En l’espèce, le plaignant a souffert de stress aigu suite aux faits, qui s’est manifesté notamment par des cauchemars, flash-backs, troubles anxieux et du sommeil ; il a suivi une thérapie (cf. P. 42/1). Il a expliqué qu’il allait très mal, qu’il n’osait plus sortir et qu’il n’a pas pu rechercher du travail (cf. jugt, p. 6). Le 29 septembre 2018, le CURML a procédé à l’examen clinique du plaignant. Les experts ont constaté les</w:t>
      </w:r>
    </w:p>
    <w:p>
      <w:r>
        <w:t>- 27 - lésions suivantes : une plaie crouteuse de forme ovale de la tempe gauche, un hématome en monocle à gauche, plusieurs dermabrasions et croûtes du pavillon auriculaire gauche, de l’hémiface gauche, en dessous de l’oreille droite, des quatre membres et du dos et des ecchymoses du dos et du membre supérieur gauche (cf. P. 12, p. 14 et P. 14/3). Sur conseil des experts, le plaignant s’est ensuite rendu aux urgences du CHUV ; il présentait des douleurs à la main droite, au dos, ainsi que de céphalée temporale droite (cf. P. 12, p. 7). Lors des débats d’appel, E.________ a expliqué que pendant deux mois après les faits, il a entendu des sifflements. L’on constate ainsi que les blessures consécutives aux faits dont a souffert le plaignant sont importantes. Celui-ci a subi des conséquences tant physiques que psychiques, qui ont également eu un impact sur sa vie professionnelle. Compte tenu des éléments qui précèdent, la somme de 10'000 fr. réclamée par E.________, à titre de tort moral, paraît justifiée et adéquate et doit ainsi lui être allouée. 7. En définitive, les appels doivent être partiellement admis et le jugement entrepris modifié aux chiffres I, III et VII de son dispositif, ainsi que par l’ajout d’un chiffre Ibis, dans le sens des considérants qui précèdent. Me Zakia Arnouni, conseil d’office d’E.________, a produit une liste d’opérations à l’audience d’appel, faisant état de 12,68 heures de travail (P. 62), avec estimation de la durée de l’audience d’appel à 3 heures, qui a en réalité duré 2 h 15. C’est ainsi un travail de 11,95 heures qui doit être admis au tarif horaire de 180 fr., soit des honoraires par 2'151 fr., montant auquel il convient d’ajouter une vacation, par 120 fr., des débours forfaitaires à 2 %, par 43 fr., et la TVA sur le tout, par 178 fr. 20, soit un total de 2’492 fr. 20. Me Alessandro Brenci, défenseur d’office d’Y.________, a produit une liste d’opérations à l’audience d’appel, faisant état de 9 heures et 50 minutes de travail (P. 59), avec estimation de la durée de l’audience</w:t>
      </w:r>
    </w:p>
    <w:p>
      <w:r>
        <w:t>- 28 - d’appel à 3 heures également. En réduisant ce temps à 2 h 15, c’est un travail de 9 heures et 5 minutes qui doit être admis au tarif horaire de 180 fr., soit des honoraires par 1’635 fr., montant auquel il convient d’ajouter une vacation, par 120 fr., des débours forfaitaires à 2 %, par 32 fr. 70, et la TVA sur le tout, par 178 fr. 20, soit un total de 1’925 fr. 35. Vu l’issue de la cause, les frais de la procédure d’appel, comprenant l'émolument de jugement et d’audience, par 2’790 fr. (art. 21 al. 1 et 2 TFIP), ainsi que les indemnités de conseil d’office d’E.________, par 2'492 fr. 20, ainsi que celle du défenseur d’office d’Y.________, par 1'925 fr. 35, soit au total 7'207 fr. 55, seront mis à la charge du prévenu, qui succombe (art. 428 al. 1 CPP). Y.________ ne sera tenu de rembourser à l’Etat le montant des indemnités en faveur de son défenseur d’office et du conseil d’office du plaignant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