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PE18.018875 vom 15. Januar 2021</w:t>
      </w:r>
    </w:p>
    <w:p>
      <w:r>
        <w:t>VD Tribunal cantonal, 2021-01-15, FR</w:t>
      </w:r>
    </w:p>
    <w:p>
      <w:r>
        <w:rPr>
          <w:b/>
        </w:rPr>
        <w:t xml:space="preserve">Quelle: </w:t>
      </w:r>
      <w:r>
        <w:t>https://mcp.opencaselaw.ch/entscheid/vd_gerichte_PE18.018875</w:t>
      </w:r>
    </w:p>
    <w:p>
      <w:r>
        <w:t>FR: VD_GERICHTE PE18.018875 du 15 janvier 2021</w:t>
      </w:r>
    </w:p>
    <w:p>
      <w:r>
        <w:t>IT: VD_GERICHTE PE18.018875 del 15 gennaio 2021</w:t>
      </w:r>
    </w:p>
    <w:p>
      <w:pPr>
        <w:pStyle w:val="Heading2"/>
      </w:pPr>
      <w:r>
        <w:t>Erwägungen</w:t>
      </w:r>
    </w:p>
    <w:p>
      <w:r>
        <w:rPr>
          <w:b/>
        </w:rPr>
        <w:t>E. 4</w:t>
      </w:r>
    </w:p>
    <w:p>
      <w:r>
        <w:t>- 22 -</w:t>
      </w:r>
    </w:p>
    <w:p>
      <w:r>
        <w:rPr>
          <w:b/>
        </w:rPr>
        <w:t>E. 4.1</w:t>
      </w:r>
    </w:p>
    <w:p>
      <w:r>
        <w:t>Au vu de la libération de l’appelant de l’infraction de dommages à la propriété, la peine doit être réexaminée.</w:t>
      </w:r>
    </w:p>
    <w:p>
      <w:r>
        <w:rPr>
          <w:b/>
        </w:rPr>
        <w:t>E. 4.2</w:t>
      </w:r>
    </w:p>
    <w:p>
      <w:r>
        <w:t>Selon l’art. 47 CP (Code pénal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4.2.2</w:t>
      </w:r>
    </w:p>
    <w:p>
      <w:r>
        <w:t>p. 152 ; TF 6B_108/2018 précité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 TF 6B_108/2018 précité consid. 3.1).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En cas de classement de la procédure ou d'acquittement, l'indemnisation du prévenu est à la charge de l'Etat lorsqu'il s'agit d'une infraction poursuivie d'office mais, en cas d'infraction poursuivie sur plainte, elle est (en principe) à la charge de la partie plaignante. Il existe un parallélisme entre la question de la répartition des frais et celle de l’indemnisation.</w:t>
      </w:r>
    </w:p>
    <w:p>
      <w:r>
        <w:rPr>
          <w:b/>
        </w:rPr>
        <w:t>E. 4.3</w:t>
      </w:r>
    </w:p>
    <w:p>
      <w:r>
        <w:t>X.________ doit être reconnu coupable de voies de fait et d’injure. Sa culpabilité est moyenne. A l’instar du tribunal de première instance, il y a lieu de constater que l’appelant s’en est pris à une femme âgée et que les mots employés pour désigner sa cousine B.________ dénotent un grand manque de considération pour la gent féminine. Le fait qu’un litige civil oppose deux branches de sa famille n’excuse pas son comportement, l’appelant n’ayant pas à rendre la justice lui-même. A charge, on retiendra que tout au long de l’enquête, le prévenu a persisté à</w:t>
      </w:r>
    </w:p>
    <w:p>
      <w:r>
        <w:t>- 23 - nier les faits malgré certaines évidences. Ses déclarations aux débats de première instance, selon lesquelles il entendait poursuivre le conflit en déposant à son tour une plainte pénale à l’encontre des parties plaignantes, ne joue pas en sa faveur. Enfin, on rappellera que l’absence d’antécédents judiciaires du prévenu a un effet neutre sur la peine. Une peine pécuniaire doit sanctionner l’infraction d’injure. La quotité de celle-ci doit être arrêtée à dix jours-amende, le montant du jour-amende étant fixé à 40 francs. Cette peine sera suspendue pendant un délai d’épreuve de deux ans, le pronostic n’étant pas défavorable. Les voies de fait seront quant à elles sanctionnées d’une amende de 400 fr., convertible en 4 jours de peine privative de liberté de substitution en cas de non-paiement fautif. Pour les motifs exposés par le premier juge, auxquels la Cour de céans adhère par adoption de motifs, (art. 82 al. 4 CPP), il convient, en application de l’art. 67b CP, d’interdire à X.________ de prendre contact et de s’approcher à moins de 50 mètres des plaignants, ce pour une durée de deux ans.</w:t>
      </w:r>
    </w:p>
    <w:p>
      <w:r>
        <w:rPr>
          <w:b/>
        </w:rPr>
        <w:t>E. 5.1</w:t>
      </w:r>
    </w:p>
    <w:p>
      <w:r>
        <w:t>Compte tenu de ce qui précède, il convient encore de revoir la répartition des frais et dépens de première instance.</w:t>
      </w:r>
    </w:p>
    <w:p>
      <w:r>
        <w:rPr>
          <w:b/>
        </w:rPr>
        <w:t>E. 5.2</w:t>
      </w:r>
    </w:p>
    <w:p>
      <w:r>
        <w:t>L’art. 426 al. 1, 1re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Aux termes de l'art. 427 al. 2 CPP, en cas d'infractions poursuivies sur plainte, les frais de procédure peuvent être mis à la charge de la partie plaignante ou du plaignant qui, ayant agi de manière téméraire ou par négligence grave, a entravé le bon déroulement de la</w:t>
      </w:r>
    </w:p>
    <w:p>
      <w:r>
        <w:t>- 24 -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w:t>
      </w:r>
    </w:p>
    <w:p>
      <w:r>
        <w:rPr>
          <w:b/>
        </w:rPr>
        <w:t>E. 5.3</w:t>
      </w:r>
    </w:p>
    <w:p>
      <w:r>
        <w:t>Compte tenu de la libération de X.________ pour l’infraction de dommages à la propriété au stade de l’appel, il convient de réduire la part</w:t>
      </w:r>
    </w:p>
    <w:p>
      <w:r>
        <w:t>- 25 - des frais de première instance mise à sa charge (soit une demie en première instance). C’est en définitive une part représentant un tiers des frais totaux qui sera mise à sa charge, soit 565 francs (1’700/3). S’agissant uniquement d’infractions poursuivies sur plainte, le solde, par 1'135 fr., correspondant aux frais liés aux infractions pour lesquelles le prévenu a été acquitté, sera mis à la charge des parties plaignantes, Y.________, A.________, C.________ et B.________, solidairement entre elles. Compte tenu du parallélisme existant entre la question de la répartition des frais et celle de l’indemnisation, il y a lieu d’octroyer une indemnité équivalente aux deux-tiers – et non à la moitié – de la somme totale requise par le prévenu en première instance, qui se montait au total à 2'719 fr. selon le jugement de première instance (jugement du 15 janvier 2021, p. 23). C’est donc en définitive un montant de 1'812 fr. (2'719 x 2/3) qui doit être alloué à X.________ au sens de l’art. 429 CPP pour les frais relatifs à la procédure de première instance, à la charge des parties plaignantes, Y.________, A.________, C.________ et B.________, solidairement entre elles.</w:t>
      </w:r>
    </w:p>
    <w:p>
      <w:r>
        <w:rPr>
          <w:b/>
        </w:rPr>
        <w:t>E. 5.4</w:t>
      </w:r>
    </w:p>
    <w:p>
      <w:r>
        <w:t>Pour les mêmes motifs, l’indemnité allouée aux parties plaignantes en application de l’art. 433 CPP pour la procédure de première instance doit être réduite dans la même proportion, à savoir qu’il ne leur sera alloué qu’un tiers du montant total réclamé, qui se montait à 6'927 fr. selon le jugement de première instance (jugement du 15 janvier 2021, p. 22). C’est ainsi un montant de 2'309 fr. qui leur sera alloué au titre de l’indemnité de l’art. 433 CPP pour la procédure de première instance, à la charge de X.________. L’indemnité allouée à C.________ en raison du gain manqué sera ramenée au tiers du montant demandé, soit 40 fr. (30 x 4 / 3). Enfin, considérant l’abandon de l’infraction de dommages à la propriété de la lettre C.2.1 ci-dessus, il n’y a pas lieu d’accorder à Y.________ de dommages et intérêts en relation avec cet épisode.</w:t>
      </w:r>
    </w:p>
    <w:p>
      <w:r>
        <w:t>- 26 -</w:t>
      </w:r>
    </w:p>
    <w:p>
      <w:r>
        <w:rPr>
          <w:b/>
        </w:rPr>
        <w:t>E. 6.1</w:t>
      </w:r>
    </w:p>
    <w:p>
      <w:r>
        <w:t>En définitive, l’appel doit être partiellement admis et le jugement entrepris réformé dans le sens des considérants.</w:t>
      </w:r>
    </w:p>
    <w:p>
      <w:r>
        <w:rPr>
          <w:b/>
        </w:rPr>
        <w:t>E. 6.2</w:t>
      </w:r>
    </w:p>
    <w:p>
      <w:r>
        <w:t>L’appelant, qui obtient partiellement gain de cause et qui a procédé avec l’assistance d’un mandataire professionnel, a droit à une indemnité réduite pour les dépenses occasionnées par la procédure de deuxième instance (art. 429 al. 1 let. a CPP, applicable par renvoi de l’art. 436 al. 1 CPP). Aux termes de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Les débours sont fixés selon les dispositions régissant les dépens en matière civile, applicables par analogie (al. 6). A l’audience d’appel, X.________ a chiffré sa demande d’indemnité à un montant total de 8'157 fr. 80, pour les frais relatifs à la première et à la deuxième instance confondus. Selon la liste des opérations produite, l’avocat de choix de l’appelant a indiqué avoir consacré, depuis le jugement de première instance, 5h à ce mandat et son avocat-stagiaire 14,3 heures, y compris l’audience (P. 49). Il convient tout d’abord de rappeler que le tarif horaire de l’avocat-stagiaire de choix est de 160 fr. et non de 200 francs. Pour le surplus, le nombre d’heures</w:t>
      </w:r>
    </w:p>
    <w:p>
      <w:r>
        <w:t>- 27 - annoncées apparaît largement surfait au vu des infractions concernées, de la difficulté de la cause et de la connaissance du dossier acquise en première instance. Ainsi, tout bien considéré, il y a lieu de retenir un montant fixé ex aequo et bono à 3'000 fr. pour les dépenses obligatoires occasionnées par la procédure d’appel. Au vu du sort de l’appel, seul un tiers de ce montant sera alloué à l’appelant. Il sera mis à la charge des parties plaignantes, Y.________, A.________, C.________ et B.________, solidairement entre elles.</w:t>
      </w:r>
    </w:p>
    <w:p>
      <w:r>
        <w:rPr>
          <w:b/>
        </w:rPr>
        <w:t>E. 6.3</w:t>
      </w:r>
    </w:p>
    <w:p>
      <w:r>
        <w:t>De leurs côtés, les parties plaignantes ont conclu à l’allocation d’une indemnité de 3'861 fr. 05, correspondant, selon la liste des opérations produite à 11 heures d’activité d’avocat à 300 fr. de l’heure, plus les débours et la TVA (P.51). Il y a lieu de s’écarter de cette liste des opérations pour ramener le tarif horaire à 250 fr., s’agissant d’une cause simple. Les honoraires s’élèvent ainsi à 2'750 fr., auxquels il convient d’ajouter des débours forfaitaires à concurrence de 2 % (art. 3bis al. 1 RAJ [Règlement du 7 décembre 2010 sur l'assistance judiciaire en matière civile; BLV 211.02.3], applicable par renvoi de l’art. 26b TFIP), ainsi qu’une vacation d’avocat de 120 fr. pour l’audience d’appel, plus la TVA sur le tout. L’indemnité s’élève donc à 3'152 fr. 80, débours et TVA compris. Considérant le sort de l’appel, seuls les deux tiers de ce montant seront alloués à Y.________, A.________, C.________ et B.________ parties plaignantes, créanciers solidaires, à titre de juste indemnité pour les dépenses obligatoires occasionnées par la procédure d’appel, ce qui correspond à un montant total de 2'101 fr. 85, mis à la charge de l’appelant. Considérant que le montant compris dans le dispositif notifié aux parties le 25 mai 2021 omettait de tenir compte de la vacation, des débours et de la TVA, cette erreur de calcul doit être corrigée et il y a lieu de rectifier sur ce point le dispositif en application de l’art. 83 al. 1 CPP. Enfin, la conclusion des parties plaignantes tendant à l’allocation d’indemnités à concurrence de 34 fr. 55 de l’heure à Y.________ et de 30 fr. de l’heure à C.________ doit être rejetée considérant que</w:t>
      </w:r>
    </w:p>
    <w:p>
      <w:r>
        <w:t>- 28 - Y.________ succombe en appel et que C.________ n’a produit aucun document permettant de justifier une telle indemnité pour perte de gain.</w:t>
      </w:r>
    </w:p>
    <w:p>
      <w:r>
        <w:rPr>
          <w:b/>
        </w:rPr>
        <w:t>E. 6.4</w:t>
      </w:r>
    </w:p>
    <w:p>
      <w:r>
        <w:t>Vu l’issue de la cause, les frais de la procédure d’appel, par 2’570 fr., correspondant à l'émolument de jugement et d’audience (art. 21 al. 1 et 2 TFIP), seront mis par deux-tiers à la charge de X.________, le solde étant mis à la charge des parties plaignantes, Y.________, A.________, C.________ et B.________,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