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PE18.018777 vom 2. Juni 2020</w:t>
      </w:r>
    </w:p>
    <w:p>
      <w:r>
        <w:t>VD Tribunal cantonal, 2020-06-02, FR</w:t>
      </w:r>
    </w:p>
    <w:p>
      <w:r>
        <w:rPr>
          <w:b/>
        </w:rPr>
        <w:t xml:space="preserve">Quelle: </w:t>
      </w:r>
      <w:r>
        <w:t>https://mcp.opencaselaw.ch/entscheid/vd_gerichte_PE18.018777</w:t>
      </w:r>
    </w:p>
    <w:p>
      <w:r>
        <w:t>FR: VD_GERICHTE PE18.018777 du 2 juin 2020</w:t>
      </w:r>
    </w:p>
    <w:p>
      <w:r>
        <w:t>IT: VD_GERICHTE PE18.018777 del 2 giugno 2020</w:t>
      </w:r>
    </w:p>
    <w:p>
      <w:pPr>
        <w:pStyle w:val="Heading2"/>
      </w:pPr>
      <w:r>
        <w:t>Erwägungen</w:t>
      </w:r>
    </w:p>
    <w:p>
      <w:r>
        <w:rPr>
          <w:b/>
        </w:rPr>
        <w:t>E. 1.1</w:t>
      </w:r>
    </w:p>
    <w:p>
      <w:r>
        <w:t>L'art. 410 al. 1 let. a CPP (Code de procédure pénale suisse du</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w:t>
      </w:r>
    </w:p>
    <w:p>
      <w:r>
        <w:t>- 5 -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 procédure le 1er janvier 2011, garde sa portée (TF 6B_509/2016 du 21 décembre 2016 consid. 2; TF 6B_1291/2015 du 14 mars 2016 consid. 4.1 et les arrêts cités; CAPE 4 novembre 2019/301 ;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w:t>
      </w:r>
    </w:p>
    <w:p>
      <w:r>
        <w:t>- 6 - déterminations (art. 412 al. 3 CPP) pour ensuite rejeter la demande (art. 413 al. 1 CPP ; TF 6B_574/2019 précité et les références citées). L'examen préalable de la demande de révision relève de la procédure écrite (art. 412 al. 1 CPP). 2. 2.1 A l'appui de sa demande de révision, le requérant a produit un témoignage écrit de S.________ le mettant hors de cause pour l'affaire de stupéfiants retenue à sa charge dans l'ordonnance du 30 juillet 2019. Ce dernier confirme que G.________ n'a jamais acquis de sa part ni aidé à déplacer des produits cannabiques interdits et/ou de la marijuana dans les locaux situés à la route de Préverenges 4, à Denges, puisqu'il s'agissait de CBD. Selon le requérant, ce témoignage écrit viendrait corroborer ses explications constantes et mettrait à néant les accusations dirigées à son encontre, qui ne seraient fondées que sur des interprétations et des suppositions. Il y aurait dès lors lieu de considérer ce témoignage comme un moyen de preuve nouveau et sérieux attestant de son innocence relativement au transport de produits stupéfiants. Il conviendrait donc de libérer G.________ des chefs de prévention d'infraction et de complicité d'infraction à la loi fédérale sur les stupéfiants. 2.2 En l'espèce, le requérant ne peut pas prétendre que les déclarations écrites de S.________ constituent un moyen de preuve sérieux qui serait de nature à motiver son acquittement. En effet, entendu le 22 novembre 2018 par la Police cantonale vaudoise, il avait admis avoir transporté "un peu d'herbe", précisant en outre que c'était uniquement pour aider S.________ qu'il avait transporté "les stupéfiants" (P. 23/3/2, p. 4, R. 9). Il savait d'ailleurs que S.________ vendait du shit et de la marijuana, même si celui-ci avait également du CBD (P. 23/3/2, p. 3, R. 7). Ainsi, les nouvelles déclarations que S.________, trafiquant de stupéfiants, fait dans le témoignage écrit produit par le requérant, sont dépourvues de toute</w:t>
      </w:r>
    </w:p>
    <w:p>
      <w:r>
        <w:t>- 7 - crédibilité. Elles ne sont dès lors pas propres à ébranler les constatations de fait sur lesquelles se fonde la condamnation de G.________. Le requérant ne rend donc pas vraisemblable l'existence d'un motif de révision sérieux. 3. Il résulte de ce qui précède que la demande de révision déposée par G.________ doit être déclarée irrecevable, sans échange d’écritures (art. 412 al. 2 CPP). Vu l’issue de la cause, les frais de la procédure de révision, constitués en l'espèce du seul émolument d'arrêt, par 660 fr. (art. 21 al. 1 et 22 TFIP [Tarif des frais de procédure et indemnités en matière pénale du 28 septembre 2010; BLV 312.03.1]), seront mis à la charge du requérant, qui succombe (art. 428 al. 1 CPP). Dans la mesure où il n’obtient pas gain de cause, aucune indemnité ne saurait lui être allouée.</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w:t>
      </w:r>
    </w:p>
    <w:p>
      <w:r>
        <w:t>- 4 -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6B_574/2019 du</w:t>
      </w:r>
    </w:p>
    <w:p>
      <w:r>
        <w:rPr>
          <w:b/>
        </w:rPr>
        <w:t>E. 9</w:t>
      </w:r>
    </w:p>
    <w:p>
      <w:r>
        <w:t>septembre 2019 consid. 1.1 et les références citées).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