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PE18.018546 vom 18. August 2020</w:t>
      </w:r>
    </w:p>
    <w:p>
      <w:r>
        <w:t>VD Tribunal cantonal, 2020-08-18, FR</w:t>
      </w:r>
    </w:p>
    <w:p>
      <w:r>
        <w:rPr>
          <w:b/>
        </w:rPr>
        <w:t xml:space="preserve">Quelle: </w:t>
      </w:r>
      <w:r>
        <w:t>https://mcp.opencaselaw.ch/entscheid/vd_gerichte_PE18.018546</w:t>
      </w:r>
    </w:p>
    <w:p>
      <w:r>
        <w:t>FR: VD_GERICHTE PE18.018546 du 18 août 2020</w:t>
      </w:r>
    </w:p>
    <w:p>
      <w:r>
        <w:t>IT: VD_GERICHTE PE18.018546 del 18 agosto 2020</w:t>
      </w:r>
    </w:p>
    <w:p>
      <w:pPr>
        <w:pStyle w:val="Heading2"/>
      </w:pPr>
      <w:r>
        <w:t>Erwägungen</w:t>
      </w:r>
    </w:p>
    <w:p>
      <w:r>
        <w:rPr>
          <w:b/>
        </w:rPr>
        <w:t>E. 4.1</w:t>
      </w:r>
    </w:p>
    <w:p>
      <w:r>
        <w:t>S’agissant des faits faisant l’objet du cas n° 2 de l’acte d’accusation, le prévenu fait valoir que rien ne permet de retenir qu’il était animé de l’intention de tuer son ex-épouse. Il affirme que seule l’infraction</w:t>
      </w:r>
    </w:p>
    <w:p>
      <w:r>
        <w:t>- 22 - de lésions corporelles graves devrait dès lors être retenue. Il se plaint ainsi d’une violation de la présomption d’innocence.</w:t>
      </w:r>
    </w:p>
    <w:p>
      <w:r>
        <w:rPr>
          <w:b/>
        </w:rPr>
        <w:t>E. 4.2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ATF 120 IV 17 consid. 2c; TF 6B_924/2017 du 14 mars 2018 consid. 1.1.3).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Code pénal, Petit commentaire, 2e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ATF 135 IV 152 consid. 2.3.2). Il faut donc qu'il existe un risque qu'un dommage puisse résulter de l'infraction, mais encore que l'auteur sache</w:t>
      </w:r>
    </w:p>
    <w:p>
      <w:r>
        <w:t>- 23 - que ce danger existe (Wissensmoment) et qu'il s'accommode de ce résultat (Willensmoment), même s'il préfère l'éviter (ATF 125 IV 242 consid. 3c, JdT 2002 IV 38; ATF 119 IV 1 consid. 5a;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ATF 134 IV 26 consid. 3.2.2, JdT 2009 IV 43; ATF 133 IV 222 consid. 5.3; TF 6B_775/2011 du 4 juin 2012 consid. 2.4.1). Il peut également être tenu compte des mobiles et de la manière de procéder de l'auteur (ATF 135 IV 12 consid. 2.3.3; ATF 133 IV 9 consid. 4.1, JdT 2007 I 553; ATF 130 IV 58 consid. 8.4; ATF 125 IV 242 consid. 3c). Il ne faut pas se fonder sur les blessures effectivement subies par la</w:t>
      </w:r>
    </w:p>
    <w:p>
      <w:r>
        <w:t>- 24 - victime, mais sur la dangerosité du comportement du prévenu pour évaluer la probabilité de la réalisation du risque de mort (TF 6B_1087/2013 du 22 octobre 2014 consid. 2.3). Si l’intention homicide, y compris sous la forme du dol éventuel, ne peut être établie avec suffisamment de certitude, mais que le comportement de l’auteur a objectivement et concrètement mis en danger la vie d’autrui, l’art. 129 CP est applicable (ATF 133 IV 1 consid. 5, JdT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Dupuis et al., op. cit., n. 37 ad art. 111 CP).</w:t>
      </w:r>
    </w:p>
    <w:p>
      <w:r>
        <w:rPr>
          <w:b/>
        </w:rPr>
        <w:t>E. 4.3</w:t>
      </w:r>
    </w:p>
    <w:p>
      <w:r>
        <w:t>Le prévenu fait valoir qu’il n’a donné qu’un coup de couteau et qu’il n’a jamais voulu donner un second coup. Ce fait ressortirait de ses déclarations et de la première audition de [...]. Il y a lieu, toujours selon lui, d’écarter les déclarations subséquentes de ce témoin qui sont intervenues après qu’il a rendu visite à la plaignante à l’hôpital. Il en irait de même de la déposition de ce témoin s’agissant de la phrase « je vais la tuer ». L’appelant soutient de plus qu’il a employé le mot « accident » qui, compte tenu du fait qu’il est une personne primaire, démontrerait qu’il n’avait pas voulu ni accepté une issue fatale. En outre, l’endroit où il a frappé, situé sous le diaphragme, ne serait pas une zone où il y a lieu en principe de retenir une tentative de meurtre. Enfin, les faits se seraient déroulés en moins d’une minute et il se serait alors senti menacé, étant précisé que, compte tenu de ses troubles de la personnalité, il avait eu une réaction disproportionnée. A titre préliminaire, il y a lieu de préciser, s’agissant de l’épisode dans la cuisine lors duquel son ex-épouse affirme que le prévenu</w:t>
      </w:r>
    </w:p>
    <w:p>
      <w:r>
        <w:t>- 25 - a voulu la frapper en lui lançant une casserole, alors qu’il affirme que la casserole est tombée en faisant beaucoup de bruit, qu’aucune des personnes présentes dans la cuisine n’a pu exposer ce qui s’est passé. Il n’en demeure pas moins que, même s’il s’agit d’un malentendu et que le prévenu n’a pas voulu s’en prendre à son épouse, la victime a été effrayée par ce qui s’est passé, au point qu’elle a immédiatement fait appel à [...]. L’appelant affirme que [...] a été influencé par son ex-épouse. Or ce témoin est certes cousin germain de la victime (qui est la fille de la sœur aînée de sa mère [cf. PV aud. 9, R. 5]), mais aucun élément du dossier ne permet de retenir qu’il en veut au prévenu; il n’a en particulier pas voulu porter plainte contre lui à raison des blessures liées à l’empoignade. Le prévenu considère au demeurant que c’est un « cousin et un ami » (PV aud. 7, l. 77-78) et a même ajouté à l’audience d’appel que lui-même et l’intéressé habitaient ensemble depuis 2016. Dans sa première audition (PV aud 2, R. 2 p. 3), [...] a expliqué que le prévenu avait donné soudainement un coup de poing dans le ventre de la victime, qu’il a alors vu le couteau, qu’il a pensé qu’il allait redonner des coups et qu’il a ceinturé le prévenu qui se débattait « un peu ». Dans sa deuxième audition, il a donné plus de détails. Or, il est logique que ce témoin se soit montré plus précis lors de sa deuxième audition qui a été beaucoup plus longue que la première et qui s’est déroulée en présence des avocats des parties. De plus, il a également infirmé les dires de la victime (cf. PV aud 9, R. 17 p. 6) quant au point de savoir si le prévenu lui avait dit une semaine avant les faits qu’il voulait la poignarder. On ne saurait ainsi retenir que le témoin ait été influencé par la victime. Les déclarations de la victime et du témoin sont concordantes sur l’essentiel. Elles sont compatibles avec les blessures constatées, que ce soit celles dues au coup de couteau dans le ventre ou localisées au coude, qui concordent avec un geste de défense, la victime ayant été blessée sur la face externe du coude.</w:t>
      </w:r>
    </w:p>
    <w:p>
      <w:r>
        <w:t>- 26 - L’appelant n’a aucune crédibilité. Il a en particulier adapté ses déclarations après sa première audition. Il a en effet d’abord affirmé que, lors de la discussion qui a eu lieu à l’extérieur, son ex-épouse avait dit à [...] de le frapper (PV aud. 6, R. 9 p. 7). Il affirme être retourné dans la cuisine, avoir dissimulé le couteau, puis avoir immédiatement planté un coup de couteau dans le ventre de sa femme. Il a indiqué qu’il était confus, qu’il n’arrivait plus à se concentrer, qu’il était énervé, qu’il n’avait pas réfléchi et qu’il avait « explosé » (PV aud. 6, R. 13 p. 9). Interrogé sur ce qui l’avait mis dans cet état, il a répondu « rien » (ibid.). Il affirme n’avoir pas mis toute sa force dans le coup de couteau et n’avoir pas eu l’intention de donner plus d’un coup (PV aud. 6, R. 17 p. 10). Entendu par le Procureur le 24 septembre 2018, le prévenu a modifié ses déclarations (PV aud. 7), en présentant une version des faits exculpatoire. Il a affirmé n’avoir donné qu’un coup de couteau à sa victime et ne plus savoir où il l’avait frappée (PV aud. 7, l. 46). Il a ajouté qu’il n’avait pas piqué en direction du ventre, mais qu’il l’avait blessée en ouvrant les bras et que, par ce geste, il voulait dire à son entourage de les laisser tranquille : il a fait ce geste sous le coup de la colère, sans y mettre de force. Il a encore précisé qu’il n’avait pas voulu donner de deuxième coup, qu’il était resté sur place et que [...] l’avait attrapé (PV aud. 7, l. 99). Il a soutenu qu’en prenant le couteau, il ne voulait pas l’utiliser (PV aud. 7, l. 111-112). Lors de cette audition, le prévenu a affirmé qu’il n’avait jamais auparavant frappé son épouse, qu’elle l’accusait à tort, qu’elle ne s’était pas poignardée elle-même, mais qu’elle avait cherché les problèmes (PV aud. 7, l. 164-165). Il a confirmé, dans ses auditions subséquentes et à l’audience de première instance, qu’il est retourné dans la cuisine pour chercher des amis qui pourraient dire à son ex-épouse et à [...] qu’il n’avait jamais voulu la frapper, qu’il avait alors vu le couteau et qu’il l’avait pris sans avoir l’intention de l’utiliser, qu’il était resté longtemps avec le couteau sans l’utiliser, qu’il avait écarté les bras lorsqu’elle avait commencé à insulter sa famille, sa mère, ses sœurs et qu’il n’avait pas fait exprès de l’atteindre (jugement, p. 11-12). A l’audience d’appel, il s’est contenté de relever qu’il était « retourné à la cuisine pour aller chercher quelqu’un » et que « [s]es amis étaient occupés ».</w:t>
      </w:r>
    </w:p>
    <w:p>
      <w:r>
        <w:t>- 27 - L’appelant prétend ainsi que la victime a dit à [...] de le frapper. Or, il affirme aussi que ce dernier n’en a rien fait et qu’il était calme. Dans ces circonstances, il n’est absolument pas crédible lorsqu’il affirme qu’il avait peur d’être frappé. L’appelant nie avoir directement poignardé son ex-épouse en sortant de la cuisine. Or, dans ses premières déclarations, il n’a pas indiqué être resté à les écouter ou à parler avec eux avant de frapper. De plus, la soudaineté de l’attaque est confirmée par la victime et des témoins. Le prévenu ne peut ainsi être suivi lorsqu’il affirme, dans son audition du 30 avril 2019, qu’il avait été très touché par les paroles de la victime qui aurait insulté sa famille, dit qu’elle allait demander à leur fils de le frapper ou qu’elle appellerait la police (PV aud. 17, l. 220-222). Renouvelée à l’audience d’appel, son explication selon laquelle il aurait atteint son épouse par accident (PV aud. 17, l. 234-235), outre qu’elle n’est pas conforme à ses premières déclarations, n’est pas compatible avec la dynamique du coup porté et avec les déclarations des témoins, notamment [...] (PV aud. 1 et 5). Il est également absurde, de la part de l’appelant, de prétendre qu’il était resté sans réaction après le premier coup de couteau, dès lors que [...] a été blessé en l’empoignant. L’appelant affirme qu’il est resté un moment sur les lieux après le coup de couteau, alors que tous les témoins ont constaté qu’il était parti, étant rappelé qu’il s’agissait d’une fête réunissant plus de 100 personnes. L’appelant prétend qu’il n’a jamais menacé de tuer son épouse et qu’il n’a jamais voulu lui asséner un second coup de couteau. Celle-ci affirme, dans son audition du 1er octobre 2018, qu’en lui plantant le couteau dans le ventre, il a dit « je ne te lâcherais pas », et qu’elle a compris qu’il voulait la tuer (PV aud. 8, R. 7 p. 4-5). Il a ensuite, selon elle, essayé de la frapper à nouveau et l’a blessée au bras. Or, [...] (PV aud 3, R. 6 p. 3), qui n’a pas vu les coups de couteau mais qui a immédiatement</w:t>
      </w:r>
    </w:p>
    <w:p>
      <w:r>
        <w:t>- 28 - secouru la victime, affirme que celle-ci lui a dit que son ex-mari lui avait donné plusieurs coups de couteau. Il est par ailleurs absurde de penser que la victime, qui venait d’être pénétrée dans le ventre sur neuf centimètres par une lame de couteau, ait pu s’approcher du prévenu ou qu’elle ait pu encore se blesser toute seule (cf. ci-dessus). [...] a au demeurant également affirmé que l’appelant avait donné deux coups à son ex-épouse, même s’il a cru que le premier était un coup de poing. Il a affirmé en effet que, lorsqu’il avait tiré la victime en arrière, il avait vu le couteau ressortir du ventre, et que le prévenu l’avait poignardée une seconde fois (PV aud. 9, R. 11 p. 5). S’agissant des menaces, [...] a affirmé, dans sa deuxième audition, que le prévenu a crié « lâche moi, je vais la tuer » (PV aud. 9, ibid.). Il n’est pas déterminant qu’il n’ait pas cité ces paroles lors de sa première audition (PV aud. 2), menée sitôt après les faits, comme exposé précédemment. Quant à la plaignante, elle a indiqué, dans son audition du 21 janvier 2019, que le prévenu avait alors dit « je ne te lâcherai pas, je vais te tuer » (PV aud 13, l. 191-192). Les différences entre ces mots sont minimes, s’agissant de surcroît de traductions, dès lors que la volonté de tuer découlant de ces propos ne pouvait qu’être claire pour leurs destinataires. Partant, ces divergences ne sont pas déterminantes. L’appelant fait encore valoir qu’il s’est senti menacé. A cet égard, il y lieu d’écarter ses déclarations. Rien ne permet de retenir que la victime et le témoin l’ont menacé. Même si tel était le cas, son geste soudain sitôt après sa sortie de la cuisine ne peut être considéré comme une réponse, même disproportionnée, à une menace préalable. Il y a lieu en conséquence de s’en tenir aux faits tels que décrits par le jugement de première instance.</w:t>
      </w:r>
    </w:p>
    <w:p>
      <w:r>
        <w:rPr>
          <w:b/>
        </w:rPr>
        <w:t>E. 4.4</w:t>
      </w:r>
    </w:p>
    <w:p>
      <w:r>
        <w:t>Le prévenu s’est muni d’un couteau pointu dont la lame aiguisée mesure 20 cm (cf. not. la photographie annexée au PV aud. 10). Il a caché son arme avant de porter un premier coup dans l’abdomen de la victime. Il a enfoncé la lame sur une profondeur de 9 cm. La soudaineté du</w:t>
      </w:r>
    </w:p>
    <w:p>
      <w:r>
        <w:t>- 29 - coup, sa violence et la partie du corps visée démontrent à eux-seuls que le prévenu était animé du dessein de tuer son ex-épouse. Il a ensuite voulu lui donner un second coup, l’a atteint au coude et il a clairement dit que son intention était de la tuer. Ce n’est qu’en raison de l’intervention de [...] que le prévenu n’est pas arrivé à ses fins. Contrairement à ce qu’affirme l’appelant, en se référant à la jurisprudence (TF 6B_246/2012 du 10 juillet 2012), on ne saurait considérer que l’emplacement visé, situé sous le diaphragme, au niveau de l’abdomen, n’est pas une zone où il y a lieu en principe de retenir une tentative de meurtre. La nature de la lésion subie par l'intimée et sa qualification d'un point de vue objectif sont en effet sans pertinence pour juger si l’appelant s'est rendu coupable de tentative de meurtre, dès lors que celle-ci peut être réalisée alors même que les éléments objectifs de l'infraction font défaut. Il n'était ainsi pas même nécessaire que l'intimée soit blessée pour qu'une tentative de meurtre soit retenue, dans la mesure où la condition subjective de l'infraction était remplie (cf. TF 6B_741/2010 du 9 novembre 2010 consid. 2.2.4). Par ailleurs, en frappant sa victime dans l’abdomen, le prévenu savait ou ne pouvait que savoir, indépendamment de la question de savoir s’il pouvait atteindre un organe vital, qu’il pouvait provoquer une hémorragie mortelle. Par ailleurs, le fait que le prévenu soit resté un moment calmement sur les lieux avant de s’éloigner démontre qu’il n’était pas surpris, ni ému, par le fait que la victime était grièvement blessée. A cela ajoute qu’il a clairement manifesté par des paroles la volonté de tuer son épouse. Quant à son mobile, il y a lieu de considérer, avec les premiers juges, que le prévenu n’avait pas supporté que son ex-épouse veuille définitivement rompre. A cet égard, l’écoulement du temps depuis mars 2018, où elle le lui a signifié, et la tentative d’homicide n’est pas déterminant, contrairement à ce soutient l’appelant. En effet, le prévenu affirmait encore le 30 avril 2019, soit quelque sept mois après les faits, ce qui suit : « Après le divorce, je la considérais toujours comme ma femme. Actuellement, je la considère encore comme ma femme. » (PV aud 17, l. 298-299).</w:t>
      </w:r>
    </w:p>
    <w:p>
      <w:r>
        <w:t>- 30 - Les éléments constitutifs de l’infraction de tentative d’homicide sont donc réalisés. Il y ainsi lieu de confirmer la condamnation pour ce chef de prévention.</w:t>
      </w:r>
    </w:p>
    <w:p>
      <w:r>
        <w:rPr>
          <w:b/>
        </w:rPr>
        <w:t>E. 5.1</w:t>
      </w:r>
    </w:p>
    <w:p>
      <w:r>
        <w:t>Contestant la quotité de la peine, l’appelant fait valoir que les premiers juges n’ont pas tenu compte de certains éléments à décharge et retenu à ce titre uniquement une légère diminution de sa responsabilité.</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5.2.2</w:t>
      </w:r>
    </w:p>
    <w:p>
      <w:r>
        <w:t>Aux termes de l'art. 49 al. 1 CP, si, en raison d'un ou de plusieurs actes, l'auteur remplit les conditions de plusieurs peines de</w:t>
      </w:r>
    </w:p>
    <w:p>
      <w:r>
        <w:t>- 31 -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w:t>
      </w:r>
    </w:p>
    <w:p>
      <w:r>
        <w:rPr>
          <w:b/>
        </w:rPr>
        <w:t>E. 5.3</w:t>
      </w:r>
    </w:p>
    <w:p>
      <w:r>
        <w:t>Le bon comportement en détention du prévenu et le fait qu’aucune sanction disciplinaire n’a été prononcée à son encontre ne constituent pas des éléments à décharge, dès lors qu’il s’agit du comportement que l’on peut attendre de tout détenu. Partant, ces facteurs ont un effet neutre sur la peine (TF 6B_560/2018 du 13 août 2018 consid. 3.6 et les arrêts cités). En revanche, il est vrai que le prévenu est demandeur d’un suivi qui a débuté en détention et qui se déroule bien, comme il l’a exposé à l’audience d’appel encore. Il est vrai aussi qu’il s’est excusé. Pour autant, il y a lieu de considérer, comme les premiers juges, que la première lettre qu’il a écrite n’était qu’un moyen pour renouer avec ses enfants et que les excuses présentées aux débats de première instance</w:t>
      </w:r>
    </w:p>
    <w:p>
      <w:r>
        <w:t>- 32 - paraissent inadéquates au vu du peu de considération qu’il porte à sa victime. Le fait que l’appelant a proposé, lors de l’audience de première instance, de signer une convention avec la partie plaignante relative à la réparation du tort moral n’est pas déterminant, dès lors qu’il conteste la quotité de cette réparation. Il ne s’agit donc pas d’un facteur à décharge. Enfin, l’appelant invoque une diminution de sa responsabilité pénale en relation avec son alcoolémie en lien avec les faits survenus le 22 septembre 2018. Il avait certes bu de l’alcool. Du reste, il a, à l’audience d’appel, fait état de libations particulièrement abondantes. Pour autant, on ne saurait considérer que sa consommation était telle que sa responsabilité pénale en était affectée pour ce motif. En effet, au moment des faits, il était capable de travailler normalement en cuisine, ce qui constituait du reste la raison, ou l’un des motifs, de sa présence sur les lieux, puisqu’il était, selon ses propres dires, venu « pour aider à la préparation de la fête » (PV aud. 6, R. 6). Les experts psychiatres ne relèvent nullement que la consommation d’alcool de l’expertisé était spécifiquement de nature à affecter sa responsabilité pénale lors des faits (cf. not. P. 64, p. 13). Du reste, aucun témoin n’indique que l’intéressé ne savait pas ce qu’il faisait. Enfin, le fait que le prévenu ait été capable d’asséner un coup occasionnant une plaie profonde de 9 cm, ainsi que le détachement et la froideur dont il a fait preuve, révèlent qu’il était en pleine possession de ses moyens.</w:t>
      </w:r>
    </w:p>
    <w:p>
      <w:r>
        <w:rPr>
          <w:b/>
        </w:rPr>
        <w:t>E. 5.4</w:t>
      </w:r>
    </w:p>
    <w:p>
      <w:r>
        <w:t>A charge on retiendra, avec les premiers juges, que le prévenu a tenté de s’en prendre au bien juridique le plus précieux, soit la vie. Le mobile de son acte relève du narcissisme, puisqu’il n’a pas supporté de perdre la face en public en raison d’un prétendu manque de respect que lui aurait témoigné sa victime et qui n’est par ailleurs pas établi. Il s’en est pris à celle-ci sur une longue durée et à de nombreuses reprises avant la tentative de meurtre perpétrée le 22 septembre 2018. A l’audience d’appel encore, il n’a admis que les faits qu’il n’avait d’autre choix que de</w:t>
      </w:r>
    </w:p>
    <w:p>
      <w:r>
        <w:t>- 33 - reconnaître, contestant tous les autres. Il n’a jamais fait preuve de la moindre prise de conscience. Ainsi, il ne s’est inquiété d’aucune manière de l’état de santé de son ex-épouse, pas plus qu’il n’a exprimé de regrets envers elle, si ce n’est par une lettre qu’il lui a écrite plus d’une année après les faits et qu’il explique avoir rédigée comme un moyen de renouer contact avec ses enfants. Ses quelques excuses paraissent inadéquates au vu du peu de considération qu’il montre à sa victime. Plus encore, ses propos tenus à l’audience d’appel, selon lesquels le coup aurait été porté involontairement et l’intimée se serait « blessée elle-même à cause des bracelets qu’elle portait » témoignent d’un important déni. Il en va de même des reproches de mensonge alors adressés à sa fille. Les antécédents de 2012 et 2015 du prévenu, notamment, pour des infractions perpétrées au préjudice de la plaignante, sont également à prendre en considération à charge. A décharge, il sera tenu compte de la conclusion des experts selon laquelle la responsabilité de l’auteur était légèrement diminuée. L’un dans l’autre, sa culpabilité qui devrait être considérée comme extrêmement lourde sans cette diminution légère de responsabilité, doit être considérée comme très lourde.</w:t>
      </w:r>
    </w:p>
    <w:p>
      <w:r>
        <w:rPr>
          <w:b/>
        </w:rPr>
        <w:t>E. 5.5</w:t>
      </w:r>
    </w:p>
    <w:p>
      <w:r>
        <w:t>L’infraction la plus grave à réprimer est celle de tentative de meurtre, de sorte que cette peine doit être déterminée en premier lieu. Les éléments rappelés ci-dessus justifient une peine privative de liberté de six ans pour sanctionner cette infraction. Par l’effet du concours (art. 49 al. 1 CP), cette peine doit être augmentée de 16 mois pour la mise en danger de la vie d’autrui et de deux mois pour la conduite en état d’ébriété qualifiée. La peine de sept ans et demi doit ainsi être confirmée. Il en va de même de la déduction de la détention préventive subie à la date du prononcé du jugement de première instance (art. 51 CP) et l’imputation de neuf jours de détention au titre de la réparation du tort moral pour conditions de détention illicites, incontestées.</w:t>
      </w:r>
    </w:p>
    <w:p>
      <w:r>
        <w:rPr>
          <w:b/>
        </w:rPr>
        <w:t>E. 6.1</w:t>
      </w:r>
    </w:p>
    <w:p>
      <w:r>
        <w:t>Le prévenu conteste son expulsion.</w:t>
      </w:r>
    </w:p>
    <w:p>
      <w:r>
        <w:t>- 34 -</w:t>
      </w:r>
    </w:p>
    <w:p>
      <w:r>
        <w:rPr>
          <w:b/>
        </w:rPr>
        <w:t>E. 6.2</w:t>
      </w:r>
    </w:p>
    <w:p>
      <w:r>
        <w:t>Selon l'art. 66a al. 1 let. a CP, le juge expulse de Suisse l'étranger qui est condamné pour meurtre (art. 111 CP, ce qui inclut la tentative [ATF 144 IV 168; cf. ég. ci-dessous]), quelle que soit la quotité de la peine prononcée à son encontre, pour une durée de cinq à quinze ans. Il découle de l'art. 66a al. 1 let. b CP que le juge expulse de Suisse l'étranger qui est condamné pour mise en danger de la vie d’autrui (art. 129 CP).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meurtre.</w:t>
      </w:r>
    </w:p>
    <w:p>
      <w:r>
        <w:rPr>
          <w:b/>
        </w:rPr>
        <w:t>E. 6.3.1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6.3.2</w:t>
      </w:r>
    </w:p>
    <w:p>
      <w:r>
        <w:t>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w:t>
      </w:r>
    </w:p>
    <w:p>
      <w:r>
        <w:t>- 35 -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3.1;TF 6B_286/2020 du 1er juillet 2020 consid. 1.3.1; TF 6B_704/2019 du 28 juin 2019 consid. 1.3 et les arrêts cités).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p. 24; TF 6B_397/2020 du 24 juillet 2020 précité consid. 6.1).</w:t>
      </w:r>
    </w:p>
    <w:p>
      <w:r>
        <w:t>- 36 -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w:t>
      </w:r>
    </w:p>
    <w:p>
      <w:r>
        <w:rPr>
          <w:b/>
        </w:rPr>
        <w:t>E. 6.3.3</w:t>
      </w:r>
    </w:p>
    <w:p>
      <w:r>
        <w:t>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(RS 0.105; ci-après: Convention contre la torture)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Saadi contre Italie du 28 février 2008 [requête n° 37201/06] § 125 et 128; Chahal contre Royaume-Uni du 15 novembre 1996 [requête n° 22414/93] § 74 et 96; TF 6B_908/2019 du 5 novembre 2019 consid. 2.1.2).</w:t>
      </w:r>
    </w:p>
    <w:p>
      <w:r>
        <w:t>- 37 -</w:t>
      </w:r>
    </w:p>
    <w:p>
      <w:r>
        <w:rPr>
          <w:b/>
        </w:rPr>
        <w:t>E. 6.4</w:t>
      </w:r>
    </w:p>
    <w:p>
      <w:r>
        <w:t>Dans le cas particulier, l’intégration du prévenu en Suisse est médiocre, alors même qu’il y est arrivé à l’âge de 20 ans, soit en 1989, donc il y a plus de 30 ans. En effet, il parle toujours très mal le français et sa connaissance d’une autre langue nationale se limite, selon ses propres dires à l’audience d’appel, à la compréhension de « quelques mots d’allemand ». Or, la méconnaissance de la langue en dépit d’un long séjour en Suisse constitue un facteur défavorable dans l’appréciation de l’intégration sous l’angle de l’expulsion (TF 6B_1192/2018 du 23 janvier 2019, spéc. consid. 2.2.3). Au surplus, les relations personnelles de l’appelant sont en majorité issues de la communauté sri-lankaise, ce qui constitue un autre élément témoignant de son peu d’insertion sociale en Suisse. Du reste, les experts psychiatres relèvent qu’il « a peu intégré la culture et la langue » de son pays d’accueil (P. 64, p. 12). Un autre facteur dénotant sa mauvaise intégration est l’étendue considérable de ses dettes (TF 6B_1417/2019 du 13 mars 2020; TF 6B_1421/2019 du 12 février 2020 consid. 1.4.2). En outre, l’appelant ne peut pas se prévaloir d’une insertion professionnelle particulièrement réussie, dès lors qu’il a occupé des emplois entrecoupés de périodes de chômage. Sa réintégration professionnelle en Suisse ne semble ainsi pas plus difficile que dans son pays d’origine, ce qui constitue un autre facteur défavorable sous l’angle de l’expulsion (cf. not. TF 6B_909/2020 du 15 décembre 2020). L’appelant n’a pas de contacts avec ses enfants, désormais majeurs, qu’il n’a plus revus depuis juillet 2018, comme il l’a confirmé à l’audience d’appel; il leur a certes écrit, mais ils ne lui ont jamais répondu. Ces éléments témoignent de rapports particulièrement distendus au sein de la famille nucléaire du prévenu. L’appelant est d’ailleurs responsable de cette situation en raison des infractions commises. Compte tenu de ces éléments, il ne peut pas se prévaloir du respect de sa vie privée et familiale, malgré son très long séjour en Suisse. Même si tel était le cas, il faudrait constater que l’intérêt public à son expulsion l’emporte sur son intérêt privé au vu de la gravité des actes commis et du risque de récidive</w:t>
      </w:r>
    </w:p>
    <w:p>
      <w:r>
        <w:t>- 38 - présenté par l’intéressé à dire d’expert, ce risque étant expressément qualifié d’élevé (P. 64, p. 18 s., ch. 3.2). A l’audience d’appel, le prévenu a fait valoir que le suivi thérapeutique dispensé en prison, à raison de « deux fois par mois, un peu moins régulièrement depuis le covid », ne pourra pas être mis en place au Sri-Lanka. Ce suivi ne concerne en aucune manière des soins médicaux élaborés. Il s’agit d’une thérapie à bas seuil d’accès. Ce traitement porte essentiellement sur la qualité du sommeil du patient, avec médication en relation avec son problème d’alcool. Le Tribunal fédéral a, dans un cas d’espèce, précisé que des soins médicaux adéquats, y compris en matière psychiatrique, pouvaient être prodigués en Géorgie (TF 6B_1117/2018 du</w:t>
      </w:r>
    </w:p>
    <w:p>
      <w:r>
        <w:rPr>
          <w:b/>
        </w:rPr>
        <w:t>E. 6.5</w:t>
      </w:r>
    </w:p>
    <w:p>
      <w:r>
        <w:t>Pour le reste, l’appelant affirme qu’il serait en danger s’il retournait dans son pays d’origine, mais l’instruction a démontré qu’il était retourné au Sri-Lanka pour des vacances en 2005. De toute manière, la question ne se pose en définitive qu’à l’issue de l’exécution de la peine (art. 66d CP). On ne saurait ainsi considérer que l’intérêt privé du prévenu l’emporte sur l’intérêt public à son expulsion du fait de son origine tamoule et son statut de requérant d’asile reconnu lors de son arrivée en Suisse. 7. 7.1 L’appelant fait valoir que le montant du tort moral de 70'000 fr. alloué à l’intimée est trop élevé au regard à l’atteinte subie par la demanderesse.</w:t>
      </w:r>
    </w:p>
    <w:p>
      <w:r>
        <w:t>- 39 - 7.2 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7.3 En l'espèce, la comparaison que fait l'appelant avec le montant des indemnités allouées aux victimes LAVI n'est pas pertinente. En effet, les indemnités versées par l'Etat en application de cette loi sont notoirement inférieures à celles dues par les auteurs d'infractions et ne</w:t>
      </w:r>
    </w:p>
    <w:p>
      <w:r>
        <w:t>- 40 - répondent pas aux mêmes principes. L’intimée a subi des violences conjugales durant des années, qui ont atteint leur paroxysme avec la tentative d’homicide à l’arme blanche perpétrée le 22 septembre 2018. La demanderesse est atteinte dans sa santé physique et est toujours en incapacité de travail. Elle est restreinte dans ses mouvements en raison des séquelles au bras gauche et doit encore suivre des traitements en lien avec ses blessures. De plus, elle souffre d’un état de stress post- traumatique, d’un trouble dépressif récurrent, d’une anxiété généralisée et d’un trouble dissociatif. Elle est ainsi encore sensiblement atteinte dans sa santé psychique. En particulier, elle ne peut pas évoquer les faits sans être prise de malaises, y compris à l’audience de première instance (jugement, p. 9 in fine et 36), à telle enseigne, du reste, qu’elle a été dispensée de comparaître personnellement à l’audience d’appel (P. 147). Les troubles psychiques paraissent irréversibles. Ce tableau clinique dénote un important préjudice moral, qui plus est durable, sinon même irréversible. Les répercussions de l’acte dommageable illicite ont donc été particulièrement graves. Dans ces circonstances une indemnité de 70'000 fr. en capital, même si elle est élevée, se justifie pleinement. Le point de départ des intérêts n’est au surplus pas contesté. 8. La détention subie par l’appelant depuis le jugement de première instance doit être déduite (art. 51 CP). 9. Le maintien en détention en exécution anticipée de peine de l’appelant doit être confirmé. 10. Vu l’issue de l’appel, les frais d’appel (art. 21 al. 1 et 2 TFIP [Tarif des frais de procédure et indemnités en matière pénale du 28 septembre 2010; RSV 312.03.1]), seront mis à la charge de l’appelant, qui succombe entièrement (art. 428 al. 1, 1re phrase, CPP).</w:t>
      </w:r>
    </w:p>
    <w:p>
      <w:r>
        <w:t>- 41 - Outre l’émolument, les frais d’appel comprennent l’indemnité en faveur du défenseur d’office de l’appelant et celle en faveur du conseil d’office de l’intimée (art. 422 al. 1 et al. 2 let. a CPP). La liste d’opérations produite par le défenseur d’office comporte des opérations antérieures à l’ouverture de l’instance d’appel (24 août au 4 septembre 2020 inclus), qui plus est relatives à de pures tâches de secrétariat. Or, les actes de secrétariat ne sauraient être indemnisés, faute de relever de l’activité intellectuelle de l’avocat; quoi qu’il en soit, ces opérations se rattachent à la procédure de première instance. Les divers postes relatifs à de pures tâches de secrétariat (y compris les opérations du 24 août au 4 septembre 2020 inclus, déjà mentionnées) sont d’abord constituées par les réceptions de courriers divers (24 et 31 août 2020; 2, 28 et 30 septembre 2020; 4, 7, 10, 16 et 24 décembre 2020; 1er février 2021). L’opération intitulée « Examen des pièces et rédaction d’un bordereau » (22 septembre 2020) relève également du secrétariat, de sorte qu’elle ne saurait davantage être indemnisées. En outre, la liste comporte certaines opérations superflues. Ainsi, l’opération intitulée « Examen du dossier complet » (3 février 2021) n’a pas à être indemnisée, s’agissant d’un dossier réputé connu car plaidé en première instance déjà, étant ajouté que la déclaration d’appel avait déjà été déposée à la date du 3 février 2021. Peu importe ainsi que cet examen du dossier semble être en relation avec l’opération intitulée « Rédaction plaidoirie et préparation de l’audience » (4 février 2021), laquelle doit être prise en compte à hauteur de l’entier du montant réclamé, soit 450 fr. pour deux heures et demie d’activité. A l’opposé, il doit être tenu compte de la durée de l’audience d’appel (2 heures et 19 minutes), alors que seule une durée prévisionnelle de deux heures figure sur la liste. Enfin, le poste intitulé « Opérations de clôture » (9 février 2021) apparaît redondant avec celui intitulé « Opérations à venir (…) », daté du même jour, pour une durée prévisionnelle de 50 minutes; ce</w:t>
      </w:r>
    </w:p>
    <w:p>
      <w:r>
        <w:t>- 42 - poste-là doit donc être supprimé. En revanche, ce poste-ci, qui ne relève pas du secrétariat, sera pris en compte, ex aequo et bono, à raison d’une heure plutôt que des 50 minutes réclamées. Ainsi, doivent être prises en compte les opérations suivantes : 3 heures le 18 septembre 2020; 4 heures et 30 minutes le 22 septembre 2020; 1 heure le 11 décembre 2020; 2 heures et 30 minutes le 4 février 2021; 1 heure le 5 février 2021; 1 heure le 8 février 2021; 2 heures et 20 minutes pour l’audience d’appel, en plus de 15 minutes pour l’entretien après cette audience; 1 heure pour les opérations postérieures au jugement d’appel, soit 16 heures et 35 minutes. A cette durée, il convient d’ajouter 3 heures et 25 minutes pour les rédactions de courriers au client, au conseil adverse ou à des autorités (1er, 4, 22 et 29 septembre 2020; 7, 10, 17, 21 et 28 décembre 2020; 3 février 2021), pour des durées de cinq ou de dix minutes par opération. Il y a lieu d’ajouter aux honoraires des débours forfaitaires à concurrence de 2 % (art. 3bis al. 1 RAJ [Règlement du 7 décembre 2010 sur l'assistance judiciaire en matière civile; BLV 211.02.3], applicable par renvoi de l’art. 26b TFIP). Pour ce qui est des débours, la liste fait état de deux vacations aux Etablissements pénitentiaires de Bellechasse, sis à Sugiez (FR), les 11 décembre 2020 et 5 février 2021, en plus de la vacation à l’audience d’appel. Les premières doivent être prises en compte conformément à la liste, soit à hauteur de 111 fr. 42 l’unité, alors que la dernière doit l’être à raison du forfait de 120 fr., d’où un total de 342 fr. 84, le forfait n’étant pas applicable aux vacations hors-canton (cf. not. CREP 21 avril 2020/302; CREP 20 octobre 2017/712; CREP 27 septembre 2016/647 et réf. cit.). Ex aequo et bono, une durée supplémentaire de 360 fr. sera ajoutée aux frais de vacation ci-dessus au titre de la durée des déplacements vers et depuis Sugiez. L’indemnité doit ainsi être établie sur la base des éléments suivants : - Honoraires : 20 x 180 fr., soit 3'600 fr.; - Frais forfaitaires à 2 %, soit 72 fr.;</w:t>
      </w:r>
    </w:p>
    <w:p>
      <w:r>
        <w:t>- 43 - - Vacations : 342 fr. 84 + 360 fr., soit 702 fr. 84; Total : 4'374 fr. 84 fr., soit 4'711 fr. 70, TVA comprise. L’indemnité de conseil d’office doit être arrêtée sur la base de la liste d’opérations produite (P. 150), en tenant toutefois compte de la durée de l’audience d’appel (2 heures et 19 minutes), alors que seule une durée prévisionnelle d’une heure et demie figure sur la liste. Ainsi, il y a lieu de se fonder sur une durée d’activité totale d’avocate de neuf heures, à 180 fr. l’heure, pour la procédure d’appel, toutes opérations utiles confondues. Il y a lieu d’ajouter aux honoraires des débours forfaitaires à concurrence de 2 %, ainsi qu’une vacation d’avocate de 120 fr. pour l’audience d’appel, plus la TVA sur le tout. L’indemnité s’élève donc à 1'908 fr. 90, débours et TVA compris. L’appelant ne sera tenu de rembourser les indemnités de défense et de conseil d’office prévues ci-dessus que lorsque sa situation financière le permettra (art. 135 al. 4 let. a CPP).</w:t>
      </w:r>
    </w:p>
    <w:p>
      <w:r>
        <w:rPr>
          <w:b/>
        </w:rPr>
        <w:t>E. 11</w:t>
      </w:r>
    </w:p>
    <w:p>
      <w:r>
        <w:t>janvier 2019 consid. 2.3.3). Il en va de même de la Guinée, s’agissant d’un condamné né en 1960 portant une sonde urinaire et présentant une hypertension artérielle traitée, une polyglobulie et des troubles psychiques justifiant un traitement antidépresseur et anxiolytique (ATF 145 IV 455). Au surplus, le patient est désormais sevré, ce d’autant qu’il a relevé, à l’audience d’appel, qu’il allait « bien maintenant ». La nécessité d’un suivi médical ne constitue donc pas un motif empêchant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