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PE18.018539 vom 31. Oktober 2018</w:t>
      </w:r>
    </w:p>
    <w:p>
      <w:r>
        <w:t>VD Tribunal cantonal, 2018-10-31, FR</w:t>
      </w:r>
    </w:p>
    <w:p>
      <w:r>
        <w:rPr>
          <w:b/>
        </w:rPr>
        <w:t xml:space="preserve">Quelle: </w:t>
      </w:r>
      <w:r>
        <w:t>https://mcp.opencaselaw.ch/entscheid/vd_gerichte_PE18.018539</w:t>
      </w:r>
    </w:p>
    <w:p>
      <w:r>
        <w:t>FR: VD_GERICHTE PE18.018539 du 31 octobre 2018</w:t>
      </w:r>
    </w:p>
    <w:p>
      <w:r>
        <w:t>IT: VD_GERICHTE PE18.018539 del 31 ottobre 2018</w:t>
      </w:r>
    </w:p>
    <w:p>
      <w:pPr>
        <w:pStyle w:val="Heading2"/>
      </w:pPr>
      <w:r>
        <w:t>Erwägungen</w:t>
      </w:r>
    </w:p>
    <w:p>
      <w:r>
        <w:rPr>
          <w:b/>
        </w:rPr>
        <w:t>E. 1</w:t>
      </w:r>
    </w:p>
    <w:p>
      <w:r>
        <w:t>L'ordonnance attaquée ne se limite pas à refuser la visite prévue le 15 octobre 2018 ; elle soumet durablement les contacts du recourant avec l'extérieur à des restrictions. Le recourant a donc un intérêt actuel à la modification ou à l'annulation de cette ordonnance. En outre, selon la jurisprudence, il résulte du droit à un recours effectif, prévu à l'art. 13 CEDH (Convention du 4 novembre 1950 de sauvegarde des droits de l'homme et des libertés fondamentales ; RS 0.101), que lorsque la détention provisoire a violé d'une manière ou d'une autre un droit du prévenu garanti par la Convention, le prévenu a le droit d'obtenir immédiatement la constatation de l'illicéité des conditions de sa détention, sans attendre la décision qui en tirera les conséquences conformément à l'art. 431 CPP (cf. ATF 139 IV 41 consid. 3.1 et les réf. citées ; ATF 136 1 274 consid. 1.3). Le chef de conclusions III du recourant, purement constatatoire, est dès lors admissible. Partant, le recours est entièrement recevable.</w:t>
      </w:r>
    </w:p>
    <w:p>
      <w:r>
        <w:rPr>
          <w:b/>
        </w:rPr>
        <w:t>E. 2.1</w:t>
      </w:r>
    </w:p>
    <w:p>
      <w:r>
        <w:t>Le recourant soutient que l'interdiction de visite prononcée par le Ministère public ne serait justifiée par aucun intérêt public et qu'elle serait contraire à sa liberté personnelle et au respect de sa vie privée.</w:t>
      </w:r>
    </w:p>
    <w:p>
      <w:r>
        <w:t>- 4 -</w:t>
      </w:r>
    </w:p>
    <w:p>
      <w:r>
        <w:rPr>
          <w:b/>
        </w:rPr>
        <w:t>E. 2.2</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La garantie de la liberté personnelle (art. 10 al. 1 Cst. [Constitution fédérale de la Confédération suisse du 18 avril 1999 ; RS 101])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(TF 1B_74/2014 du 7 avril 2014 consid. 3.2 ; TF 1B_382/2013 du 18 décembre 2013 consid. 2.1). Conformément aux exigences de l'art. 36 Cst., les restrictions à ce droit doivent reposer sur une base légale et ne pas aller au-delà de ce qui est nécessaire au but de l'incarcération (ATF 124 I 203 consid. 2b ; ATF 119 la 505 consid. 3b ; ATF 118 la 64 consid. 2d ; TF 1B_74/2014 du 7 avril 2014 consid. 3.2). Les exigences inhérentes au but de la détention doivent être examinées dans chaque cas, les restrictions imposées pouvant être d'autant plus sévères que le risque, notamment de collusion, apparaît élevé (ATF 118 la 64 consid. 2d ; TF 1B_74/2014 du 7 avril 2014 consid. 3.2 ; TF 1B_382/2013 du 18 décembre 2013 consid. 2.1). Par analogie avec la détention provisoire, le risque de collusion doit, pour faire échec au droit de visite des proches, présenter une certaine vraisemblance (ATF 123 I 31 consid. 3c ; ATF 117 la 257 consid. 4c ; TF 1B_74/2014 du 7 avril 2014 consid. 3.2 ; TF 1B_382/2013 du 18 décembre 2013 consid. 2.1), et l'autorité doit indiquer, au moins dans les grandes lignes, en quoi l'exercice de ce droit pourrait compromettre les résultats de l'enquête (cf. ATF 123 I 31 consid. 2b ; ATF 116 la 149 consid.</w:t>
      </w:r>
    </w:p>
    <w:p>
      <w:r>
        <w:t>- 5 -</w:t>
      </w:r>
    </w:p>
    <w:p>
      <w:r>
        <w:rPr>
          <w:b/>
        </w:rPr>
        <w:t>E. 2.3</w:t>
      </w:r>
    </w:p>
    <w:p>
      <w:r>
        <w:t>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 RSV 340.02.5]). S'agissant des appels téléphoniques, l'art. 62 RSDAJ dispose que pour autant que l'autorité dont ils dépendent les y ait autorisés, les détenus peuvent, sous le contrôle du personnel pénitentiaire, effectuer des appels téléphoniques (al. 1). Les appels s'effectuent durant les heures fixées par la direction de chaque établissement (al. 2). Les conversations sont enregistrées et peuvent être contrôlées (al. 3). Le coût des appels est à la charge des détenus (al. 4). La détention et l'usage de téléphones cellulaires sont interdits (al. 5).</w:t>
      </w:r>
    </w:p>
    <w:p>
      <w:r>
        <w:t>- 6 -</w:t>
      </w:r>
    </w:p>
    <w:p>
      <w:r>
        <w:rPr>
          <w:b/>
        </w:rPr>
        <w:t>E. 2.4</w:t>
      </w:r>
    </w:p>
    <w:p>
      <w:r>
        <w:t>En l'espèce, l'instruction pénale a été ouverte et le recourant placé en détention provisoire il y a une trentaine de jours. Les enquêteurs s'emploient activement à identifier le troisième participant au cambriolage, que les deux participants identifiés dont les déclarations sont contradictoires même sur l'origine (gitane ou albanaise) de ce troisième participant cherchent manifestement à soustraire aux poursuites. On peut dès lors craindre que, s'il était autorisé à s'entretenir librement et sans contrôle avec sa femme, le recourant en profite pour la charger d'un message à l'intention de ce troisième participant. A ce stade précoce de l'instruction, ce risque suffit à justifier les restrictions apportées par le Ministère public au droit du recourant à des contacts avec sa famille. Celles-ci ne pourront certes pas être maintenues durablement sans la découverte rapide d'éléments qui rendront ce risque de collusion plus concret. En l'état toutefois, la décision attaquée est justifiée et proportionnée.</w:t>
      </w:r>
    </w:p>
    <w:p>
      <w:r>
        <w:rPr>
          <w:b/>
        </w:rPr>
        <w:t>E. 2.5</w:t>
      </w:r>
    </w:p>
    <w:p>
      <w:r>
        <w:t>Par conséquent, c’est à bon droit que le Ministère public a rejeté la demande d’autorisation de visite présentée par le recourant. 3. En définitive,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de A.H.________ ne sera toutefois exigible que pour autant que sa situation financière le permette (art. 135 al. 4 CPP).</w:t>
      </w:r>
    </w:p>
    <w:p>
      <w:r>
        <w:t>- 7 - Par ces motifs, la Chambre des recours pénale prononce : I. Le recours est rejeté. II. L'ordonnance de refus de visite du 11 octobre 2018 est confirmée. III. L'indemnité due au défenseur d'office du recourant, Me Patrick Michod, est fixée à 581 fr. 60 (cinq cent huitante-et-un francs et soixante centimes). IV. Les frais d’arrêt, par 660 fr. (six cent soixante francs), ainsi que l’indemnité due au défenseur d’office du recourant, par 581 fr. 60 (cinq cent huitante-et-un francs et soixante centimes), sont mis à la charge de ce dernier. V. Le remboursement à l’Etat de l’indemnité allouée au chiffre III ci-dessus ne sera exigible que pour autant que la situation économique de A.H.________ le permette. VI. L’arrêt est exécutoire. Le président : La greffière :</w:t>
      </w:r>
    </w:p>
    <w:p>
      <w:r>
        <w:t>- 8 - Du Le présent arrêt, dont la rédaction a été approuvée à huis clos, est notifié, par l'envoi d'une copie complète, à : - Me Patrick Michod, avocat (pour A.H.________),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 TF 1B_74/2014 du 7 avril 2014 consid. 3.2; TF 1B_382/2013 du 18 décembre 2013 consid. 2.1). Le principe selon lequel l'exercice des droits constitutionnels ou conventionnels de la personne détenue ne doit pas être restreint au- delà de ce qui est nécessaire au but de la détention et au fonctionnement normal de l'établissement – principe qui est expressément posé à l'art. 235 al. 1 CPP et découlait déjà de la jurisprudence du Tribunal fédéral (cf. ATF 124 I 203 consid. 2b ; ATF 123 I 221 consid. 114c ; ATF 122 II 299 consid. 3b ; ATF 118 la 64 consid. 2d) – concerne notamment le maintien de contacts avec les membres de la proche famille, tels que le conjoint et les enfants, protégé par les garanties constitutionnelles et conventionnelles de la liberté personnelle (art. 10 al. 2 Cst.) et du respect de la vie privée et familiale (art. 14 Cst. et 8 CEDH ; TF 1P.382/2002 du 13 août 2002 consid. 3 ; Matthias Härri, in : Niggli/Heer/VViprächtiger [éd.], Basler Kommentar, Schweizerische Strafprozessordnung, 2e éd., Bâle 2014, n. 34 ad art. 235 CPP; JdT 2015 III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