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PE18.018345 vom 26. November 2018</w:t>
      </w:r>
    </w:p>
    <w:p>
      <w:r>
        <w:t>VD Tribunal cantonal, 2018-11-26, FR</w:t>
      </w:r>
    </w:p>
    <w:p>
      <w:r>
        <w:rPr>
          <w:b/>
        </w:rPr>
        <w:t xml:space="preserve">Quelle: </w:t>
      </w:r>
      <w:r>
        <w:t>https://mcp.opencaselaw.ch/entscheid/vd_gerichte_PE18.018345</w:t>
      </w:r>
    </w:p>
    <w:p>
      <w:r>
        <w:t>FR: VD_GERICHTE PE18.018345 du 26 novembre 2018</w:t>
      </w:r>
    </w:p>
    <w:p>
      <w:r>
        <w:t>IT: VD_GERICHTE PE18.018345 del 26 novembre 2018</w:t>
      </w:r>
    </w:p>
    <w:p>
      <w:pPr>
        <w:pStyle w:val="Heading2"/>
      </w:pPr>
      <w:r>
        <w:t>Erwägungen</w:t>
      </w:r>
    </w:p>
    <w:p>
      <w:r>
        <w:rPr>
          <w:b/>
        </w:rPr>
        <w:t>E. 20</w:t>
      </w:r>
    </w:p>
    <w:p>
      <w:r>
        <w:t>décembre 2018, Z.________ a interjeté appel contre ce jugement, en concluant, avec suite de frais et dépens, principalement à sa réforme en ce sens qu’il soit libéré du chef d’inculpation de violation simple des règles de la circulation routière, qu’il lui soit alloué une indemnité de 3'620 fr. au sens de l’art. 429 CPP, et que les frais de la procédure soient laissés à la charge de l’Etat. A titre subsidiaire, il a conclu à l’annulation du jugement et au renvoi de la cause au Tribunal de première instance pour qu’il statue dans le sens des considérants. Le 20 décembre 2018, l’appelant a produit une liste des opérations de son défenseur de choix, dont le total se monte à 3'620 fr., débours et TVA compris (P. 19/2-3). Le 9 janvier 2019, la Présidente a informé les parties que l’appel serait traité d’office en procédure écrite.</w:t>
      </w:r>
    </w:p>
    <w:p>
      <w:r>
        <w:t>- 3 - Par courrier du 17 janvier 2019, le Ministère public central du canton de Vaud a indiqué qu’il renonçait à déposer des déterminations et qu’il se référait au jugement entrepris. C. Les faits retenus sont les suivants : 1. Originaire de [...]/FR, Z.________ est né le [...] 1997 à [...]/FR. Il est menuisier et touche à ce titre un salaire mensuel net compris entre 5'000 fr. et 5'500 francs. Il habite chez ses parents et ne paie pas de loyer. Il n’a ni dette, ni fortune, ni charge familiale. Son fichier ADMAS ne comporte pas d’inscription. 2. Le jeudi 9 novembre 2017, vers 06h15, un accident de la circulation est survenu sur l’autoroute A9 (Lausanne-Simplon), chaussée montagne, au niveau de l’échangeur de Villars-Sainte-Croix, impliquant le véhicule conduit par Z.________ et celui conduit par L.________. Le rapport de police du 21 novembre 2017 indique qu’en raison de la divergence des déclarations des parties, du manque d’élément et de témoignage, il n’a pas été possible d’établir les causes exactes de l’accident, ni de déterminer la responsabilité de l’un ou l’autre des conducteurs impliqués. Selon les déclarations de L.________, il aurait circulé sur la voie centrale à une vitesse de 70 km/h, alors qu’un véhicule arrivant à sa droite aurait tenté de se rabattre devant sa voiture, le percutant à l’avant droit, avant de reprendre place sur la voie de droite. Z.________ a quant à lui expliqué qu’il circulait sur la voie de droite à une vitesse d’environ 120 km/h lorsqu’un véhicule serait arrivé à sa gauche. Voyant que ce conducteur désirait se rabattre sur la voie de droite, il aurait klaxonné et tenté une manœuvre d’évitement par la droite, en vain. Personne n’a été blessé. Après s’être arrêté sur la bande d’arrêt d’urgence et au vu du désaccord entre les parties sur le déroulement des faits, Z.________ a fait appel à la police.</w:t>
      </w:r>
    </w:p>
    <w:p>
      <w:r>
        <w:t>- 4 - 3. a) Deux ordonnances pénales ont été rendues le 28 février 2018 par la Préfecture de l’Ouest lausannois contre chacun des conducteurs impliqués, reprochant tant à Z.________ qu’à L.________ d’avoir été inattentifs et d’avoir effectué un déplacement à droite, sans égard envers les autres usagers. b) L.________ n’a pas formé opposition à l’ordonnance pénale dirigée contre lui. Par courrier du 10 mars 2018, Z.________ a formé opposition à l’ordonnance pénale dirigée contre lui. c) Lors de son audition devant la Préfecture de l’Ouest lausannois, Z.________ a confirmé sa version des faits, soit que les deux véhicules impliqués roulaient selon lui à la même vitesse et à la même hauteur, lorsque l’autre conducteur, circulant sur la voie centrale, aurait tenté de se rabattre à droite et aurait accroché son pare-chocs arrière gauche. d) La préfète de l’Ouest lausannois a maintenu l’ordonnance pénale attaquée et a transmis le dossier au Ministère public central le 28 août 2018, qui l’a à son tour transmis, le 31 août 2018, au Tribunal de police de l’arrondissement de Lausanne comme objet de sa compétence. e) Le 28 septembre 2018, Z.________ a déclaré maintenir son opposition. 4. Lors de l’audience du 26 novembre 2018 devant le Tribunal de police, Z.________ a déclaré qu’il s’estimait non-fautif dans le déroulement de l’accident en cause. Il a confirmé sa version des faits, en précisant qu’il circulait avec son tempomat enclenché à 120 km/h et qu’il n’y avait pas beaucoup de trafic à ce moment-là.</w:t>
      </w:r>
    </w:p>
    <w:p>
      <w:r>
        <w:t>- 5 - En d roit : 1. 1.1 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 1.2 S'agissant d'un appel dirigé contre un jugement portant sur une contravention, l'appel est de la compétence d'un juge unique (art. 14 al. 3 LVCPP ; [loi vaudoise d’introduction du Code de procédure pénale suisse du 19 mai 2009 ; BLV 312.01]) et la procédure écrite est applicable (art. 406 al. 1 let. c CPP). 2. Selon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 En revanche, la juridiction d’appel peut revoir librement le droit (Kistler Vianin, op. cit., n.</w:t>
      </w:r>
    </w:p>
    <w:p>
      <w:r>
        <w:rPr>
          <w:b/>
        </w:rPr>
        <w:t>E. 25</w:t>
      </w:r>
    </w:p>
    <w:p>
      <w:r>
        <w:t>ad art. 398 CPP). L’art. 398 al. 4 CPP s’applique tant au jugement pénal</w:t>
      </w:r>
    </w:p>
    <w:p>
      <w:r>
        <w:t>- 6 - qu’à ses conséquences, notamment au sort des frais et des indemnités (TF 6B_603/2014 du 9 janvier 2015 consid. 2). 3. 3.1 Z.________ conteste sa condamnation pour violation simple des règles de la circulation routière. Il reproche au premier juge de ne pas avoir retenu sa version des faits. 3.2. 3.2.1 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w:t>
      </w:r>
    </w:p>
    <w:p>
      <w:r>
        <w:t>- 7 -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3.2.2 Aux termes de l'art. 90 al. 1 LCR, celui qui viole les règles de la circulation prévues par la présente loi ou par les dispositions d'exécution émanant du Conseil fédéral est puni de l'amende. Le principe de la confiance est déduit de l'art. 26 al. 1 LCR qui prévoit que chacun doit se comporter, dans la circulation, de manière à ne pas gêner ni mettre en danger ceux qui utilisent la route conformément aux règles établies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TF 6B_873/2014 du 5 janvier 2015 consid. 2.4.1). Seul celui qui s'est comporté réglementairement peut invoquer le principe de la confiance. Celui qui viole des règles de la circulation et crée ainsi une situation confuse ou dangereuse ne peut pas attendre des autres qu'ils parent à ce danger par une attention accrue (ATF 129 IV 282 consid. 2.2.1 et les arrêts cités). 3.2.3 Le principe de l'accusation est consacré à l'art. 9 CPP, mais découle aussi des art. 29 al. 2 Cst. (Constitution fédérale de la Confédération suisse du 18 avril 1999 ; RS 101), 32 al. 2 Cst. et 6 par. 1 et 3 let. a et b CEDH (Convention de sauvegarde des droits de l’homme et des libertés fondamentales du 4 novembre 1950 ; RS 0.101). Selon ce</w:t>
      </w:r>
    </w:p>
    <w:p>
      <w:r>
        <w:t>- 8 -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Le contenu de l'acte d'accusation doit ainsi permettre au prévenu de s'expliquer et préparer efficacement sa défense (ATF 141 IV 132 consid. 3.4.1 ; ATF 133 IV 235 consid. 6.2 et les références citées).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6B_947/2015 précité consid. 7.1 et les références citées). 3.3 Les deux versions des conducteurs impliqués sont totalement incompatibles. En effet, L.________ a déclaré qu’il roulait selon lui à</w:t>
      </w:r>
    </w:p>
    <w:p>
      <w:r>
        <w:t>- 9 - seulement 70 km/h sur la voie centrale, lorsque l’appelant aurait amorcé un déplacement sur la voie centrale, le percutant à l’avant, tandis qu’au contraire, l’appelant a affirmé qu’ils roulaient tous deux à environ 120 km/h, quand L.________ aurait tenté de se rabattre sur la voie de droite. L’accrochage serait survenu après que l’appelant ait klaxonné pour avertir de sa présence. On constate qu’aucun élément concret, comme le témoignage d’une tierce personne, ne permet de départager les deux versions ou de préférer l’une à l’autre. Le rapport de police mentionne d’ailleurs à ce sujet qu’en raison de la divergence des déclarations, du manque d’élément et de témoignage, il n’a pas été possible d’établir les causes exactes de l’accident, ni de déterminer la responsabilité de l’un ou de l’autre des conducteurs impliqués. On ne dispose ainsi d’aucun élément qui permettrait d’écarter la version, par ailleurs constante, de l’appelant, ou de considérer celle-ci comme étant invraisemblable. Au contraire, certains éléments tendent à attester de ses déclarations. En particulier, la vitesse qu’il indique, soit 120 km/h, paraît plus cohérente que celle de l’autre protagoniste, qui circulait pourtant sur une bande de dépassement, étant précisé que l’accident s’est déroulé peu après 6 heures du matin. Il paraît en effet surprenant qu’un conducteur circule à seulement 70 km/h sur la voie centrale d’une autoroute à trois voies, alors que le trafic ne devait pas être dense à cette heure-ci, comme l’a indiqué l’appelant. En outre, après la survenance de l’accident, c’est bien l’appelant qui a fait appel à la police, alors qu’il n’arrivait pas à se mettre d’accord avec l’autre conducteur impliqué. Il s’agit d’un indice supplémentaire que l’appelant s’estimait dans son bon droit. Par ailleurs, l’automobiliste L.________ n’a pas fait opposition à l’ordonnance pénale le condamnant pour avoir fait un déplacement sur la droite ayant causé l’accident ; celle-ci est donc entrée en force. On relèvera également que l’ordonnance pénale ayant fait l'objet d’une opposition par l’appelant, qui tient lieu d’acte d’accusation,</w:t>
      </w:r>
    </w:p>
    <w:p>
      <w:r>
        <w:t>- 10 - l’incrimine pour le même état de fait. Il est pourtant incompatible que les deux protagonistes aient effectué une manœuvre dans le même sens (sur la droite), entraînant l’altercation. Le jugement attaqué s’est ainsi détourné des faits reprochés à l’appelant dans l’acte d’accusation, pour retenir que l’appelant s’était déporté sur la gauche, ce qui contrevient au principe de l’accusation. Au regard de l’ensemble de ces éléments, il n’est pas possible d’établir les faits et de déterminer la cause de l’accident, de sorte que l’appelant doit être acquitté au bénéfice du doute. 4. 4.1 En conclusion, l’appel doit être admis et le jugement modifié en ce sens que Z.________ est libéré de l’infraction de violation simple des règles de la circulation routière, les frais étant laissés à la charge de l’Etat. 4.2 4.2.1 L’appelant a requis l’octroi d’une indemnité à hauteur de 3’620 francs. 4.2.2 Aux termes de l’art. 429 al. 1 CPP, si le prévenu est acquitté totalement ou en partie ou s’il bénéficie d’une ordonnance de classement, il a droit à une indemnité pour les dépenses occasionnées par l’exercice raisonnable de ses droits de procédure (let. a).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w:t>
      </w:r>
    </w:p>
    <w:p>
      <w:r>
        <w:t>- 11 - 4.2.3 En l’occurrence, l’assistance d’un avocat était nécessaire à l’appelant pour parvenir à son acquittement. Sur le principe, l’octroi d’une indemnité de l’art. 429 CPP se justifie. L’appelant a produit une liste des opérations effectuées par son défenseur de choix depuis le 5 octobre 2018 (P. 19/2-3). Celles-ci ont été comptabilisées à hauteur de 715 minutes, soit 11,9 heures au tarif horaire de 280 fr., ce qui représente 3'337 fr. à titre d’honoraires, auxquels s’ajoutent des débours par 25 fr., ainsi que la TVA sur le tout, au taux de 7,7%, par 259 fr., le tout totalisant 3'620 francs. Cette liste ne prête pas le flanc à la critique. Partant, une indemnité d’un montant de 3'620 fr. peut être allouée à l’appelant pour l’exercice raisonnable de ses droits dans la procédure pénale. 4.3 Vu l’issue de la cause, les frais de la procédure d’appel, constitués en l’espèce du seul émolument de jugement, par 900 fr. (art. 21 al. 1 TFIP [tarif des frais de procédure et indemnités en matière pénale du</w:t>
      </w:r>
    </w:p>
    <w:p>
      <w:r>
        <w:rPr>
          <w:b/>
        </w:rPr>
        <w:t>E. 28</w:t>
      </w:r>
    </w:p>
    <w:p>
      <w:r>
        <w:t>septembre 2010 ; BLV 312.03.1]),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