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PE18.018276 vom 26. November 2018</w:t>
      </w:r>
    </w:p>
    <w:p>
      <w:r>
        <w:t>VD Tribunal cantonal, 2018-11-26, FR</w:t>
      </w:r>
    </w:p>
    <w:p>
      <w:r>
        <w:rPr>
          <w:b/>
        </w:rPr>
        <w:t xml:space="preserve">Quelle: </w:t>
      </w:r>
      <w:r>
        <w:t>https://mcp.opencaselaw.ch/entscheid/vd_gerichte_PE18.018276</w:t>
      </w:r>
    </w:p>
    <w:p>
      <w:r>
        <w:t>FR: VD_GERICHTE PE18.018276 du 26 novembre 2018</w:t>
      </w:r>
    </w:p>
    <w:p>
      <w:r>
        <w:t>IT: VD_GERICHTE PE18.018276 del 26 novembre 2018</w:t>
      </w:r>
    </w:p>
    <w:p>
      <w:pPr>
        <w:pStyle w:val="Heading2"/>
      </w:pPr>
      <w:r>
        <w:t>Erwägungen</w:t>
      </w:r>
    </w:p>
    <w:p>
      <w:r>
        <w:rPr>
          <w:b/>
        </w:rPr>
        <w:t>E. 1.1</w:t>
      </w:r>
    </w:p>
    <w:p>
      <w:r>
        <w:t>Aux termes de l'art. 396 al. 1 CPP (Code de procédure pénale suisse du 5 octobre 2007 ; RS 312.0), le recours contre les décisions notifiées par écrit ou oralement est motivé et adressé par écrit, dans le délai de dix jours, à l'autorité de recours.</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Zurich/St-Gall 2012, n. 1126 ; Ziegler/Keller, in : Niggli/Heer/Wiprächtiger [éd.], Basler Kommentar, Schweizerische Strafprozessordnung, Jugendstrafprozessordnung, 2e éd., Bâle 2014, n. 1a ad art. 385 CPP). Le recourant doit ensuite énoncer « les motifs qui commandent une autre décision » (art. 385 al. 1 let. b CPP), à savoir les arguments, de fait ou de droit, sur lesquels il prétend se fonder pour faire modifier la décision en sa faveur (Pitteloud, op. et loc. cit. ; Lieber, in : Donatsch/Hansjakob/Lieber [éd.], Kommentar zur Schweizerischen Strafprozessordnung, 2e éd., Zurich/Bâle/Genève 2014, n. 2 ad art. 385 CPP). Ainsi, il doit indiquer dans quelle mesure et sous quel angle il entend critiquer l’établissement des faits ou l’application du droit (Calame, in : Kuhn/Jeanneret [éd.], Commentaire romand, Code de procédure pénale suisse, Bâle 2011, n. 20 ad art. 385 CPP).</w:t>
      </w:r>
    </w:p>
    <w:p>
      <w:r>
        <w:t>- 5 -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1B_232/2017 du 19 juillet 2017 consid. 2.4.3 ; TF 6B_347/2016 du 10 février 2017 consid. 4.1 ; TF 1B_363/2014 du 7 janvier 2015 consid. 2.1 et les réf. citées).</w:t>
      </w:r>
    </w:p>
    <w:p>
      <w:r>
        <w:rPr>
          <w:b/>
        </w:rPr>
        <w:t>E. 1.3</w:t>
      </w:r>
    </w:p>
    <w:p>
      <w:r>
        <w:t>En l'espèce, le recours a été déposé en temps utile. Toutefois, l’acte du recourant ne contient aucune motivation et ne soulève pas le moindre moyen, même implicite, qui justifierait le prononcé d’une autre décision.</w:t>
      </w:r>
    </w:p>
    <w:p>
      <w:r>
        <w:rPr>
          <w:b/>
        </w:rPr>
        <w:t>E. 2</w:t>
      </w:r>
    </w:p>
    <w:p>
      <w:r>
        <w:t>Il s’ensuit que le recours doit être déclaré irrecevable. Les frais de la procédure de recours, constitués du seul émolument d’arrêt (art. 422 al. 1 CPP), par 550 fr. (art. 20 al. 1 TFIP [Tarif des frais de procédure et indemnités en matière pénale du 28 septembre 2010 ; RSV 312.03.1]), seront mis à la charge du recourant, qui est considéré avoir succombé (art. 428 al. 1 CPP).</w:t>
      </w:r>
    </w:p>
    <w:p>
      <w:r>
        <w:t>- 6 - Par ces motifs, la Chambre des recours pénale prononce : I. Le recours est irrecevable. II. Les frais d’arrêt, par 550 fr. (cinq cent cinquante francs), sont mis à la charge du recourant A.K.________. III. L’arrêt est exécutoire. Le président : La greffière : Du Le présent arrêt, dont la rédaction a été approuvée à huis clos, est notifié, par l'envoi d'une copie complète, à : - A.K.________, - Ministère public central, et communiqué à : - M. le Procureur de l’arrondissement du Nord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