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PE18.018144 vom 6. Mai 2020</w:t>
      </w:r>
    </w:p>
    <w:p>
      <w:r>
        <w:t>VD Tribunal cantonal, 2020-05-06, FR</w:t>
      </w:r>
    </w:p>
    <w:p>
      <w:r>
        <w:rPr>
          <w:b/>
        </w:rPr>
        <w:t xml:space="preserve">Quelle: </w:t>
      </w:r>
      <w:r>
        <w:t>https://mcp.opencaselaw.ch/entscheid/vd_gerichte_PE18.018144</w:t>
      </w:r>
    </w:p>
    <w:p>
      <w:r>
        <w:t>FR: VD_GERICHTE PE18.018144 du 6 mai 2020</w:t>
      </w:r>
    </w:p>
    <w:p>
      <w:r>
        <w:t>IT: VD_GERICHTE PE18.018144 del 6 maggio 2020</w:t>
      </w:r>
    </w:p>
    <w:p>
      <w:pPr>
        <w:pStyle w:val="Heading2"/>
      </w:pPr>
      <w:r>
        <w:t>Erwägungen</w:t>
      </w:r>
    </w:p>
    <w:p>
      <w:r>
        <w:rPr>
          <w:b/>
        </w:rPr>
        <w:t>E. 1</w:t>
      </w:r>
    </w:p>
    <w:p>
      <w:r>
        <w:t>Né le [...] 1963, A.M.________ est ressortissant suisse. Il exerçait la profession de rénovateur en bâtiment. En 2018, il a déclaré des revenus de 37'189 fr. résultant de cette activité, ainsi qu’une fortune de l’ordre de 350'000 fr., dont il a précisé aux débats de première instance qu’elle était surtout constituée d’épargne. Il a expliqué avoir arrêté de travailler en 2019 et avoir repris une petite activité lucrative en 2020, en montant des étagères, notamment, mais ne plus effectuer de rénovations. Il vivrait essentiellement de son épargne. Célibataire, il a des enfants, dont deux vivent encore chez leur mère et sont aux études. Il partage son appartement avec plusieurs colocataires ; sa part de loyer s’élève à 150 francs. Sa prime d’assurance LAMal, dont il dit qu’elle n’est pas subsidiée, se monte à 447 fr. 50. Le casier judiciaire de A.M.________ est vierge.</w:t>
      </w:r>
    </w:p>
    <w:p>
      <w:r>
        <w:rPr>
          <w:b/>
        </w:rPr>
        <w:t>E. 2.1</w:t>
      </w:r>
    </w:p>
    <w:p>
      <w:r>
        <w:t>Par décision du 7 octobre 2016, la Justice de paix du district de la Riviera – Pays-d’Enhaut (ci-après : la Justice de paix) a désigné A.M.________ curateur de représentation et de gestion de sa mère, B.M.________, née le [...] 1933. Par décision du 27 juin 2017, la Justice de paix a relevé A.M.________ de son mandat de curateur, décision confirmée par la Chambre des curatelles du Tribunal cantonal dans un arrêt du 25 octobre 2017 (P. 5/2). L’autorité de recours a considéré en substance que A.M.________ avait été débordé par l’ampleur de la tâche confiée, qu’il avait failli à son devoir de collaboration avec l’autorité de protection et qu’il n’avait pas été en mesure de satisfaire aux exigences minimales en matière de gestion administrative attendues d’un curateur. En particulier,</w:t>
      </w:r>
    </w:p>
    <w:p>
      <w:r>
        <w:t>- 9 - il a été mis au jour qu’une certaine confusion entre le rôle de curateur et celui de proche aidant était apparue, A.M.________ ayant intégré dans le budget de sa mère un montant de 2’000 fr. par mois correspondant à ses prétentions pour l’aide à domicile qu’il apportait à celle-ci.</w:t>
      </w:r>
    </w:p>
    <w:p>
      <w:r>
        <w:rPr>
          <w:b/>
        </w:rPr>
        <w:t>E. 2.2</w:t>
      </w:r>
    </w:p>
    <w:p>
      <w:r>
        <w:t>Le 21 novembre 2017, la nouvelle curatrice désignée, I.________, a alerté la Justice de paix du fait que plusieurs prélèvements indus sur le compte bancaire d’B.M.________ avaient été effectués par A.M.________ durant son mandat de curateur, soit : - 10'000 fr. le 23 décembre 2016 ; - 20'000 fr. le 12 janvier 2017 ; - 5'200 fr. le 1er mars 2017 ; - 10'000 fr. le 2 mars 2017. Ainsi, entre le 21 novembre 2016 et le 1er mars 2017, c’est un total de 46'200 fr. que le prévenu A.M.________ a prélevé indûment sur le compte de sa pupille B.M.________, sous couvert d’une rémunération qu’il considérait comme lui étant due, alors même que son indemnité de curateur était fixée par la Justice de paix, ce qu’il n’ignorait pas. I.________, curatrice d’B.M.________, a déposé plainte le</w:t>
      </w:r>
    </w:p>
    <w:p>
      <w:r>
        <w:rPr>
          <w:b/>
        </w:rPr>
        <w:t>E. 7</w:t>
      </w:r>
    </w:p>
    <w:p>
      <w:r>
        <w:t>septembre 2018. Le 29 mars 2019, Me Jérôme Bürgisser, mandaté par la curatrice aux fins de représenter B.M.________, a pris des conclusions civiles à concurrence de 46'200 francs. 3. Par ordonnance pénale du 7 février 2020, le Ministère public de l’arrondissement de l’Est vaudois a condamné A.M.________ pour abus de confiance qualifié à 180 jours-amende, le montant du jour-amende étant fixé à 30 fr., avec sursis durant deux ans et a mis les frais de procédure à sa charge, par 525 francs. Le 17 février 2020, A.M.________ a fait opposition à l’ordonnance pénale précitée.</w:t>
      </w:r>
    </w:p>
    <w:p>
      <w:r>
        <w:t>- 10 - Par décision du 24 février 2020, le Ministère public a maintenu son ordonnance pénale et a transmis le dossier de la cause au Tribunal de police de l’arrondissement de l’Est vaudois. En d roit : 1. Interjeté dans les formes et délais légaux (art. 399 CPP), par le prévenu ayant qualité pour recourir contre le jugement d’un tribunal de première instance qui a clos la procédure (art. 398 al. 1 CPP), l’appel de A.M.________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3.1 L’appelant conclut à son acquittement. Il ne conteste pas les prélèvements opérés sur le compte de sa mère, mais le dessein</w:t>
      </w:r>
    </w:p>
    <w:p>
      <w:r>
        <w:t>- 11 - d’enrichissement illégitime retenu par le premier juge. Il soutient que ces prélèvements auraient été en partie justifiés pour subvenir aux besoins courants de celle-ci. Il estime également qu’il faudrait prendre en compte une rémunération pour son activité de curateur. Il remet encore en question l’absence de capacité de discernement de sa mère en 2016 et 2017. Il n’aurait en outre jamais cherché à cacher ou contester ces prélèvements. Il indique qu’il serait prêt à rembourser ces sommes s’il devait être condamné et conteste son intention de commettre un abus de confiance, expliquant qu’il ignorait ses obligations de curateur.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w:t>
      </w:r>
    </w:p>
    <w:p>
      <w:r>
        <w:t>- 12 -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3.2.2 L’art. 138 CP sanctionne l’abus de confiance. Le chiffre 1 alinéa 1 de cette disposition vise celui qui, en vertu de la loi, d’un mandat officiel ou d’un acte juridique, est tenu de gérer les intérêts pécuniaires d’autrui ou de veiller sur leur gestion et qui, en violation de ses devoirs, aura porté atteinte à ces intérêts ou aura permis qu’ils soient lésés. Le chiffre 2 de cette disposition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La gestion déloyale au préjudice des proches ou des familiers n’est poursuivie que sur plainte (ch. 3).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Peu importe que le</w:t>
      </w:r>
    </w:p>
    <w:p>
      <w:r>
        <w:t>- 13 - titulaire économique puisse encore en disposer. Il suffit que l'auteur soit mis en mesure de le faire (ATF 119 IV 127 consid. 2 ; 109 IV 27 consid. 3). Du point de vue subjectif, l’auteur doit avoir agi intentionnellement et dans un dessein d’enrichissement illégitime, lequel peut être réalisé par dol éventuel (ATF 133 IV 21 consid. 6.1.2 ;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 délai déterminé s’enrichit illégitimement s’il n’a pas la volonté et la capacité de le restituer à ce moment précis (ATF 133 IV 21 consid. 6.1.2 ; ATF 118 IV 27 consid. 3a). Le dessein d’enrichissement illégitime fait en revanche défaut si, au moment de l’emploi illicite de la valeur patrimoniale, l’auteur paie la contre-valeur (ATF 107 IV 166 consid. 2a), s’il avait à tout moment, ou le cas échéant, à la date convenue à cet effet, la volonté et la possibilité de le faire (Ersatzbereitschaft ; ATF 118 IV 32 consid. 1a) ou encore s’il était en droit de compenser ou encore s'il était en droit de compenser (ATF 105 IV 29 consid. 3a ; TF 6B_1265/2017 du 26 mars 2018 consid. 4.1 ; TF 6B_1383/2016 précité).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w:t>
      </w:r>
    </w:p>
    <w:p>
      <w:r>
        <w:t>- 14 - 3.3 En l’espèce, le mandat de curateur de l’appelant a débuté le 7 octobre 2016 et a pris fin le 27 juin 2017. I.________, la nouvelle curatrice d’B.M.________, a déposé plainte le 7 septembre 2018. Il est établi et non contesté que l’appelant n’a pas tenu les comptes de sa mère, alors même qu’il en était chargé en tant que curateur. Il n’a pas non plus établi l’inventaire d’entrée. L’appelant avait accès aux comptes bancaires de sa mère et les prélèvements sont de son fait, ce qu’il ne conteste pas non plus. Il n’a jamais demandé l’autorisation à la Justice de paix de prélever ces montants sur le compte de sa mère. Le curateur a été dûment instruit sur ses devoirs, ayant reçu le manuel à l’attention des curateurs privés ainsi que des instructions écrites du juge assesseur de la Justice de paix (jugement, p. 4). L’appelant a concédé qu’il ne lisait jamais les « modes d’emploi », ce qu’il a confirmé lors de l’audience d’appel, précisant qu’il pensait que l’assesseur allait l’aider ultérieurement. L’appelant a expliqué que le prélèvement de 10'000 fr. du 23 décembre 2016 aurait été effectué à titre d’avance d’hoirie, que celui de 20'000 fr. du 12 janvier 2017 aurait été fait au titre de remboursement de frais qu’il aurait engagés pour les besoins de sa mère et à titre de rémunération pour son activité de curateur, tout comme le montant de 5'200 fr. en 2017, avec la précision qu’il s’agirait aussi d’avance sur des frais futurs. Quant au dernier prélèvement de 10'000 fr. du 2 mars 2017, il s’agirait à nouveau d’une avance d’hoirie voulue par sa mère. La fortune de la mère de l’appelant était confiée à ce dernier au sens de l’art. 138 CP. L’intéressé ne pouvait en disposer librement, ce qui était très clairement indiqué dans le manuel qui lui avait été remis par la Justice de paix au début de son mandat. Les prélèvements litigieux constituent ainsi un acte d’appropriation non autorisés et donc illégitimes. Ces actes d’appropriation ont causé un dommage, soit la diminution de l’actif sur le compte bancaire de la personne concernée.</w:t>
      </w:r>
    </w:p>
    <w:p>
      <w:r>
        <w:t>- 15 - C’est en vain que l’appelant soutient qu’il n’avait pas l’intention de s’enrichir, faisant valoir, en quelque sorte, une compensation pour le travail fourni et le remboursement de ses dépenses pour l’entretien de sa mère. En premier lieu, le prévenu avait déclaré, le 21 janvier 2019, lors de son audition devant le Ministère public, que les deux prélèvements de 10'000 fr. (des 23 décembre 2016 et 2 mars 2017) ont été faits à titre d’avance d’hoirie (PV aud. 1 ll. 42 ss). Ensuite, l’appelant a indiqué lors des débats de première instance qu’il avait déjà retiré environ 28'000 fr. au total en 2016 pour se rembourser et se payer (jugement, p. 8) ; l’argument de la compensation pour le prélèvement de 20'000 fr. effectué le 12 janvier 2017 tombe donc à faux. Il a également expliqué avoir prélevé la somme de 5'200 fr. le 1er mars 2017 pour couvrir les frais engagés par l’entretien de sa mère pour le premier trimestre 2017 et pour des frais à venir (PV aud. 1 ll. 60 s.). Au reste, l’appelant, qui invoque la compensation, ne produit aucune pièce qui lui permettrait de contester l’enrichissement illégitime, puisqu’il n’établit nullement avoir eu une créance au moins égale à la valeur du prélèvement (cf. art. 124 CO ; ATF 105 IV 29 consid. 3a ; TF 6B_918/2019 du 28 novembre 2019 consid. 4.1). Avec le premier juge, il faut nier une situation d’« Ersatzbereitschaft », soit la volonté de rembourser la contre-valeur des prélèvements. En effet, l’appelant a peut-être la faculté de rembourser les sommes qu’il s’est approprié, mais il n’en a pas la réelle volonté, au vu de son comportement durant l’enquête, et alors même qu’il était assisté d’un défenseur. En appel, il subordonne encore une éventuelle restitution à la tenue d’un procès équitable (mémoire d’appel, p. 2). En définitive, on constate qu’il n’a jamais remboursé les montants prélevés, quand bien même il en aurait eu largement l’occasion depuis le début de la procédure. En ce qui concerne l’élément constitutif subjectif, l’appelant savait qu’il agissait comme curateur. Il devait en outre savoir qu’il ne pouvait pas disposer librement des biens de sa mère, comme cela lui était expliqué dans le manuel à l’attention des curateurs privés. Il ne peut donc pas se prévaloir d’une prétendue ignorance des devoirs de curateur. Les</w:t>
      </w:r>
    </w:p>
    <w:p>
      <w:r>
        <w:t>- 16 - conclusions de l’expertise du 15 juin 2016, antérieure à son mandat, lui étaient également connues. Il connaissait ainsi la pathologie neurodégénérative dont souffrait sa mère, de type Alzheimer, qui la privait de sa capacité nécessaire pour gérer ses affaires sans les compromettre. Le fait que l’appelant n’ait rien voulu savoir de tout cela fonde une intention dolosive que l’on peut qualifier de dol éventuel, comme l’a fait le premier juge. Au vu de ce qui précède, la condamnation de l’appelant pour abus de confiance qualifiée doit être confirmée. 4. 4.1 A titre subsidiaire, l’appelant requiert le prononcé d’une peine plus légère que celle qui lui a été infligée par le Tribunal de police.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- 17 - professionnelle, risque de récidive, etc.), la vulnérabilité face à la peine, de même que le comportement après l’acte et au cours de la procédure pénale (ATF 142 IV 137 consid. 9.1 ; ATF 141 IV 61 consid. 6.1.1). 4.3 Le premier juge a considéré que la culpabilité du prévenu était lourde, puisqu’il avait trahi la confiance placée en lui, avait failli à ses devoirs de curateur et avait porté atteinte aux intérêts financiers de sa mère, en prélevant sans autorisation sur sa fortune des sommes qui n’étaient ni dues ni promises, dont elle avait besoin pour subvenir à son entretien. Cette appréciation peut être confirmée. Les peines infligées, à savoir 180 jours-amende à 100 fr. le jour, avec sursis durant deux ans, ainsi qu’une amende de 2'000 fr. à titre de sanction immédiate, sont adéquates au vu des faits retenus. L’auteur a agi à plusieurs reprises et a persisté dans son déni, sans remettre en question son comportement fautif. Il n’a, jusqu’à présent, pas non plus remboursé les sommes prélevées indûment. En fin de compte, les peines prononcées par le premier juge, justifiées dans leur quotité, doivent être confirmées. 5. L’appelant conteste les conclusions civiles uniquement dans la mesure où il conclut à son acquittement. Sa condamnation étant confirmée, les prétentions civiles, justifiées, le seront également. 6. Au vu de ce qui précède, l’appel doit être rejeté et le jugement confirmé. Les frais de deuxième instance, totalisant 1'720 fr. – constitués des émoluments de jugement et d’audience (art. 21 al. 1 et 2 TFIP) –, seront mis à la charge de l’appelant, qui succombe (art. 428 al. 1 CPP). L’intimée, qui a obtenu gain de cause, a droit, en tant que partie plaignante, à une indemnité au sens de l’art. 433 CPP. Sur la base</w:t>
      </w:r>
    </w:p>
    <w:p>
      <w:r>
        <w:t>- 18 - de la liste d’opérations produite (P. 67), dont il n’y a pas lieu de s’écarter, c’est une indemnité d’un montant de 2’087 fr. – correspondant à 7,6 heures d’activité au tarif horaire de 250 fr., plus les débours (2 % des honoraires) et un montant correspondant à la TVA – qui lui sera allouée,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