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PE18.017803 vom 28. Februar 2019</w:t>
      </w:r>
    </w:p>
    <w:p>
      <w:r>
        <w:t>VD Tribunal cantonal, 2019-02-28, FR</w:t>
      </w:r>
    </w:p>
    <w:p>
      <w:r>
        <w:rPr>
          <w:b/>
        </w:rPr>
        <w:t xml:space="preserve">Quelle: </w:t>
      </w:r>
      <w:r>
        <w:t>https://mcp.opencaselaw.ch/entscheid/vd_gerichte_PE18.017803</w:t>
      </w:r>
    </w:p>
    <w:p>
      <w:r>
        <w:t>FR: VD_GERICHTE PE18.017803 du 28 février 2019</w:t>
      </w:r>
    </w:p>
    <w:p>
      <w:r>
        <w:t>IT: VD_GERICHTE PE18.017803 del 28 febbraio 2019</w:t>
      </w:r>
    </w:p>
    <w:p>
      <w:pPr>
        <w:pStyle w:val="Heading2"/>
      </w:pPr>
      <w:r>
        <w:t>Erwägungen</w:t>
      </w:r>
    </w:p>
    <w:p>
      <w:r>
        <w:rPr>
          <w:b/>
        </w:rPr>
        <w:t>E. 1.1</w:t>
      </w:r>
    </w:p>
    <w:p>
      <w:r>
        <w:t>; Chappuis, in : Kuhn/Jeanneret [éd.], Commentaire romand, Code de procédure pénale suisse, Bâle 2011, n. 2 ad art. 426 CPP), et a provoqué ainsi l’ouverture d’une enquête pénale ou compliqué celle-ci (ATF 116 Ia 162 consid. 2d et 2e ; TF 6B_87/2012 du 27 avril 2012 consid. 1.2). Seul un comportement fautif et contraire à une règle juridique, qui soit en relation de causalité avec les frais imputés, peut être déterminant (ATF 119 Ia 332 consid. 1b ; TF 6B_886/2018 du 31 octobre 2018 consid. 2.1 ; TF 6B_1183/2017 du 24 avril 2018 consid. 2.1 et les arrêts cités).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(TF 6B_67/2016 du 31 octobre 2016). En outre, le juge doit fonder sa décision sur des faits incontestés ou déjà clairement établis (ATF 112 Ia 371 consid. 2a ; TF 6B_87/2012 du 27 avril 2012 consid. 1.2). L’art. 426 al. 2 CPP est susceptible de s’appliquer dans le cadre d’un retrait de plainte pour une infraction poursuivie sur plainte (TF 6B_1065/2015 du 15 septembre 2016 consid. 2.2 et la réf. citée).</w:t>
      </w:r>
    </w:p>
    <w:p>
      <w:r>
        <w:rPr>
          <w:b/>
        </w:rPr>
        <w:t>E. 1.2</w:t>
      </w:r>
    </w:p>
    <w:p>
      <w:r>
        <w:t>En l’occurrence, il y a lieu de considérer que le recours formé par J.________ a été déposé le 13 décembre 2018, son courrier du 4 janvier 2019 ne venant que confirmer sa volonté de recourir. L’ordonnance attaquée n’ayant par ailleurs pas été notifiée par pli recommandé, il n’existe aucune preuve de la date de sa réception, si bien qu’on retiendra que le recours a été déposé en temps utile auprès du Ministère public, qui aurait dû le transmettre d’office à la Cour de céans (art. 91 al. 4 CPP). Satisfaisant en outre aux conditions de forme prescrites à l’art. 385 al. 1 CPP, le recours est recevable.</w:t>
      </w:r>
    </w:p>
    <w:p>
      <w:r>
        <w:rPr>
          <w:b/>
        </w:rPr>
        <w:t>E. 1.3</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w:t>
      </w:r>
    </w:p>
    <w:p>
      <w:r>
        <w:t>- 4 - 173.31.1])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puisque le recours porte exclusivement sur les effets accessoires de l’ordonnance de classement, à savoir les frais judiciaires mis à la charge du recourant. Le recours relève donc de la compétence d'un membre de la Chambre des recours pénale en tant que juge unique.</w:t>
      </w:r>
    </w:p>
    <w:p>
      <w:r>
        <w:rPr>
          <w:b/>
        </w:rPr>
        <w:t>E. 2.1</w:t>
      </w:r>
    </w:p>
    <w:p>
      <w:r>
        <w:t>Le recourant conteste la mise à sa charge des frais de justice, faisant valoir que F.________ ne serait pas le propriétaire du véhicule endommagé et que celui-ci n’avait dès lors, selon lui, pas qualité pour déposer plainte pénale.</w:t>
      </w:r>
    </w:p>
    <w:p>
      <w:r>
        <w:rPr>
          <w:b/>
        </w:rPr>
        <w:t>E. 2.2.1</w:t>
      </w:r>
    </w:p>
    <w:p>
      <w:r>
        <w:t>Les frais sont en principe mis à la charge de l’Etat (art. 423 al. 1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w:t>
      </w:r>
    </w:p>
    <w:p>
      <w:r>
        <w:t>- 5 - norme de comportement écrite ou non écrite résultant de l’ordre juridique suisse dans son ensemble, dans le sens d’une application par analogie des principes découlant de l’art. 41 CO (Code des obligations, Loi fédérale complétant le Code civil suisse du 30 mars 1911 ; RS 220) (ATF 119 Ia 332 consid. 1b et les réf. citées ; TF 6B_439/2013 du 19 juillet 2013 consid.</w:t>
      </w:r>
    </w:p>
    <w:p>
      <w:r>
        <w:rPr>
          <w:b/>
        </w:rPr>
        <w:t>E. 2.2.2</w:t>
      </w:r>
    </w:p>
    <w:p>
      <w:r>
        <w:t>Si une infraction n’est punie que sur plainte, toute personne lésée peut porter plainte contre l’auteur (art. 30 al. 1 CP [Code pénal suisse du 21 décembre 1937 ; RS 311.0]). Le lésé est celui dont les droits</w:t>
      </w:r>
    </w:p>
    <w:p>
      <w:r>
        <w:t>- 6 - ont été touchés directement par l’infraction (art. 115 al. 1 CPP). Seule l’interprétation de l’infraction en cause permet de déterminer quel est le titulaire du bien juridique atteint (ATF 118 IV 209 consid. 2, JdT 1994 IV 162 ; ATF 111 IV 63 consid. 3, JdT 1985 IV 74 ; Dupuis et al. [éd.], Petit commentaire du Code pénal, 2e éd., Bâle 2017, n. 11 ad art. 30 CP est les réf. citées). S’agissant de l’infraction de dommages à la propriété, il suffit que la chose endommagée fasse l’objet d’un droit d’usage ou d’usufruit, le droit de déposer plainte n’appartenant ainsi pas qu’au propriétaire mais à tout ayant droit ayant un usage sur celle-ci (ATF 117 IV 437, JdT 1994 IV 38).</w:t>
      </w:r>
    </w:p>
    <w:p>
      <w:r>
        <w:rPr>
          <w:b/>
        </w:rPr>
        <w:t>E. 2.3</w:t>
      </w:r>
    </w:p>
    <w:p>
      <w:r>
        <w:t>En l’espèce, le prévenu recourant a endommagé une voiture garée sur sa place de parc privée et causé ainsi des dégâts engendrant des coûts de réparation de 2'782 fr. 70, selon devis établi par une carrosserie (P. 6/2). Il a donc, de manière fautive, commis un acte illicite ayant engendré un dommage. C’est à tort que le recourant se prévaut du fait que la voiture endommagée n’est pas la propriété du plaignant. En effet, à partir du moment où ce dernier avait l’usage de ce véhicule, que ce soit en prêt gratuit ou en location, il avait bien qualité pour déposer plainte. En outre, si la plainte pour dommages à la propriété n’avait pas été retirée, le recourant aurait, selon toute vraisemblance, été condamné pour cette infraction. Par son comportement illicite et fautif, il a entraîné l’ouverture de l’enquête pénale. C’est donc à juste titre que le Ministère public a fait application de l’art. 426 al. 2 CPP et a mis les frais de la procédure à la charge de J.________.</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540 fr. (art. 20 al. 1 TFIP [Tarif des frais de procédure et indemnités en matière pénale du 28</w:t>
      </w:r>
    </w:p>
    <w:p>
      <w:r>
        <w:t>- 7 - septembre 2010 ; BLV 312.03.1]), seront mis à la charge du recourant, qui succombe (art. 428 al. 1, 1re phrase, CPP). Par ces motifs, le juge unique prononce : I. Le recours est rejeté. II. L’ordonnance du 28 novembre 2018 est confirmée. III. Les frais d’arrêt, par 540 fr. (cinq cent quarante francs), sont mis à la charge de J.________. IV. L’arrêt est exécutoire. Le juge unique : La greffière : Du Le présent arrêt, dont la rédaction a été approuvée à huis clos, est notifié, par l'envoi d'une copie complète, à : - M. J.________, - Ministère public central, et communiqué à : - Mme la Procureure itinérante de l’arrondissement de La Côte, - M. F.________,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