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PE18.017796 vom 22. Januar 2020</w:t>
      </w:r>
    </w:p>
    <w:p>
      <w:r>
        <w:t>VD Tribunal cantonal, 2020-01-22, FR</w:t>
      </w:r>
    </w:p>
    <w:p>
      <w:r>
        <w:rPr>
          <w:b/>
        </w:rPr>
        <w:t xml:space="preserve">Quelle: </w:t>
      </w:r>
      <w:r>
        <w:t>https://mcp.opencaselaw.ch/entscheid/vd_gerichte_PE18.017796</w:t>
      </w:r>
    </w:p>
    <w:p>
      <w:r>
        <w:t>FR: VD_GERICHTE PE18.017796 du 22 janvier 2020</w:t>
      </w:r>
    </w:p>
    <w:p>
      <w:r>
        <w:t>IT: VD_GERICHTE PE18.017796 del 22 gennaio 2020</w:t>
      </w:r>
    </w:p>
    <w:p>
      <w:pPr>
        <w:pStyle w:val="Heading2"/>
      </w:pPr>
      <w:r>
        <w:t>Erwägungen</w:t>
      </w:r>
    </w:p>
    <w:p>
      <w:r>
        <w:rPr>
          <w:b/>
        </w:rPr>
        <w:t>E. 16</w:t>
      </w:r>
    </w:p>
    <w:p>
      <w:r>
        <w:t>ad art. 251 CP) et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TF</w:t>
      </w:r>
    </w:p>
    <w:p>
      <w:r>
        <w:t>- 7 - 6B_891/2018 du 31 octobre 2018 consid. 3.5.1 ; TF 6B_116/2017 précité consid. 2.2.3). 2.2.3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objectifs de l’escroquerie sont une tromperie – qui peut être effectuée sous la forme d’affirmations fallacieuses, d’une dissimulation de faits vrais ou encore en confortant autrui dans son erreur –, une astuce, une induction en erreur, un acte de disposition, un dommage et un lien de causalité entre les éléments qui précèdent. Sur le plan subjectif, l’infraction requiert l’intention et un dessein d’enrichissement illégitime pour soi-même ou pour un tiers (Dupuis et al. [éd.], Petit commentaire du Code pénal, 2e éd., Bâle 2017, nn. 1 et 2,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w:t>
      </w:r>
    </w:p>
    <w:p>
      <w:r>
        <w:t>- 8 -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plus récemment : TF 6B_898/2017 du 8 mars 2018 consid. 3.2).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TF 6B_150/2017 du 11 janvier 2018 consid. 3.3, non publié aux ATF 144 IV 52). 2.2.4 Réprimant l'usure, l'art. 157 ch. 1 CP rend punissable celui qui exploite la capacité de jugement déficiente d'une personne en se faisant accorder par elle, pour lui-même ou pour un tiers, en échange d'une prestation, des avantages pécuniaires en disproportion évidente avec cette prestation sur le plan économique. Selon la jurisprudence, il résulte du libellé « en échange d'une prestation » que cette disposition pénale ne vise pas celui qui, même en exploitant la capacité de jugement déficiente d'autrui, se fait accorder des avantages pécuniaires sans lui-même accorder de contrepartie. En</w:t>
      </w:r>
    </w:p>
    <w:p>
      <w:r>
        <w:t>- 9 - particulier, celui qui capte une donation ne commet pas le crime d'usure, et son acte n'est pas non plus punissable à un autre titre, parce qu'il ne fournit lui-même aucune prestation (ATF 142 IV 341 consid. 2). L’usure ne peut ainsi intervenir que dans le cadre de contrats onéreux, si bien qu’elle est exclue en matière d’actes unilatéraux et gratuits, tels par exemple la donation ou le testament (cf. Hurtado Pozo, Droit pénal, partie spéciale, Zürich 2009, n. 1457, p. 431). 2.2.5 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précité consid. 2.1.2 ; ATF 117 IV 445 consid. 2b ; ATF 106 IV 125 consid. 2a) ni que l'auteur ait réellement la volonté de réaliser sa menace (TF 6B_415/2018 précité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précité consid. 2.1.2 ; ATF 122 IV 322 consid. 1a ; ATF 120 IV 17 consid. 2a/aa). Il peut également y avoir contrainte lorsque l'auteur entrave sa victime « de quelque autre manière » dans sa liberté d'action. Cette</w:t>
      </w:r>
    </w:p>
    <w:p>
      <w:r>
        <w:t>- 10 -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 6B_415/2018 précité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du 20 septembre 2018 consid. 2.1.3). 2.3 En l’espèce, il ressort du témoignage de Me M.________ (PV aud. 2), avocat de la défunte B.Z.________, que la relation entre sa cliente et S.________ s’était développée au fil des années, cette dernière s’étant d’abord occupée du ménage de B.Z.________, puis de certaines tâches administratives, jusqu’à ce que cette dernière lui indique expressément qu’elle la considérait comme une amie. Me M.________ a déclaré avoir eu le sentiment que S.________ était la seule amie qui accompagnait B.Z.________ (ll. 61 à 68). Celle-ci lui avait parlé plusieurs mois avant son décès du don qu’elle avait l’intention de faire à son amie S.________, envisageant de faire en sorte que celle-ci obtienne la somme de 500'000 fr. net (ll. 73 à 75). Son avocat avait attiré son attention sur les impôts très élevés qui grèveraient une telle donation, ce qui expliquerait que B.Z.________ avait finalement décidé de donner la somme d’un million de francs (ll. 83 à 88, 122 à 124 et 127 à 136). Me M.________ a également confirmé qu’il avait conseillé à S.________ de demander un document attestant de la capacité de discernement de B.Z.________ (ll. 98 à 102) et a</w:t>
      </w:r>
    </w:p>
    <w:p>
      <w:r>
        <w:t>- 11 - affirmé que la prévenue n’avait pas exercé de pression sur sa défunte cliente pour obtenir la donation litigieuse (ll. 137 et 138 et 168 à 170). Me M.________ a encore souligné que sa cliente pensait que son fils A.Z.________, soit le recourant, contesterait la donation si celle-ci figurait dans son testament, raison pour laquelle elle avait souhaité faire ce don de son vivant (ll. 200 à 205). Le procureur a examiné les faits relatifs à la donation sous l’angle de la tentative d’escroquerie. Comme le magistrat, on ne discerne pas en quoi une astuce serait réalisée. Le recourant n’invoque aucun élément relatif à des affirmations fallacieuses ou à une dissimulation de faits vrais. Il ne soutient pas non plus que B.Z.________ aurait été confortée dans son erreur. Il reproche uniquement à S.________ d’avoir utilisé son influence sur une personne seule, âgée et fragilisée par la maladie pour se faire octroyer une donation. Un tel cas de figure ne relève pourtant pas de l’astuce. L’infraction d’escroquerie peut donc être écartée. Le recourant invoque également l’infraction de faux dans les titres, sans donner d’élément à ce sujet. L’argument soulevé, soit le fait que le texte comprend des fautes d’orthographe, n’implique pas que son contenu ne correspondait pas à la volonté de B.Z.________. En effet, la prévenue a admis avoir elle-même écrit le texte de l’acte de donation, sur instructions préalables de la donatrice (PV aud. 1 R. 10). Pour le surplus, le recourant ne conteste pas l’authenticité de la signature de B.Z.________ et n’invoque pas non plus que celle-ci aurait signé le document préparé par S.________ sans avoir connaissance du texte ou que le texte aurait été modifié après coup. Les conditions de l’infraction de faux dans les titres ne sont donc manifestement pas réalisées. Quant à l’infraction d’usure, quand bien même elle n’est pas invoquée par le recourant, elle ne peut pas être réalisée, dès lors que cette infraction suppose une contreprestation, inexistante dans le cadre d’une donation (cf. supra consid. 2.2.4).</w:t>
      </w:r>
    </w:p>
    <w:p>
      <w:r>
        <w:t>- 12 - Le recourant n’invoque pas non plus l’infraction de contrainte. Il ne prétend pas que la prévenue aurait usé de violence envers la défunte, ni qu’elle l’aurait menacée d’un dommage sérieux, ni qu’elle l’aurait entravée d’une autre manière dans sa liberté, mais tout au plus que la prévenue aurait pu influencer la donatrice. Comme l’a relevé le procureur, une quelconque pression de la part de S.________ sur B.Z.________ n’apparaît nullement démontrée, au vu des explications de la prévenue, corroborées par les déclarations de Me M.________. Celui-ci a en effet exclu toute pression de la part de la prévenue et ses déclarations sont crédibles. Ainsi, aucun élément ne fait apparaître une contrainte, de sorte que cette infraction peut aussi être écartée. Le recourant tente de remettre en cause le caractère probant du témoignage de Me M.________, invoquant le fait qu’il avait d’importants contacts avec la prévenue et qu’il aurait un différend avec le recourant. Le témoignage de cet avocat apparaît pourtant très fiable. Rien ne permet de penser qu’il y aurait entre lui et la prévenue une proximité qui pourrait faire mettre en doute la véracité de ses déclarations. Le fait qu’une note d’honoraires demeurerait impayée par les héritiers de sa défunte cliente n’est pas de nature à remettre en question la crédibilité de ce témoin. En définitive, l’affaire paraît purement civile. Les auditions de témoins sollicitées par le recourant ne sont dès lors pas pertinentes, aucune infraction n’étant réalisée. 2.4 S’agissant du prétendu vol d’objets, à savoir un sac à main et un téléphone portable, le recourant n’apporte aucun élément susceptible de remettre en question l’appréciation du procureur. Il relève uniquement le fait que des auditions de témoins, notamment de Me C.________ et de sa collaboratrice, T.________, pourraient apporter des éléments supplémentaires. Comme l’a retenu le procureur, les explications fournies par la prévenue (PV aud. 1, R 13), ainsi que sa lettre du 24 juillet 2018 adressée à Me C.________ (annexée au PV aud. 1) – sans que ce courrier n’ait suscité une contestation de ce dernier – suffisent à écarter les soupçons portés contre la prévenue. Vraisemblablement, si T.________</w:t>
      </w:r>
    </w:p>
    <w:p>
      <w:r>
        <w:t>- 13 - n’avait pas constaté que le sac à main (qui contiendrait le téléphone portable) se trouvait bien au domicile de la défunte lors de sa visite, l’exécuteur testamentaire aurait engagé d’autres démarches, ce qui ne semble pas avoir été le cas. C’est donc à raison que le procureur a prononcé un classement à cet égard. 3. En définitive, le recours, manifestement mal fondé, doit être rejeté sans échange d’écritures (art. 390 al. 2 CPP) et l’ordonnance confirmée. Les frais de la procédure de recours, constitués en l'espèce du seul émolument d'arrêt, par 1’320 fr. (art. 422 al. 1 CPP et 20 al. 1 TFIP [tarif des frais de procédure et indemnités en matière pénale du 28 septembre 2010 ; BLV 312.03.1]), seront mis à la charge du recourant, qui succombe (art. 428 al. 2 let. a CPP), solidairement entre eux. Par ces motifs, la Chambre des recours pénale prononce : I. Le recours est rejeté. II. L’ordonnance du 15 novembre 2019 est confirmée. III. Les frais d’arrêt, par 1’320 fr. (mille trois cent vingt francs), sont mis à la charge d’A.Z.________. IV. L’arrêt est exécutoire. Le président : La greffière :</w:t>
      </w:r>
    </w:p>
    <w:p>
      <w:r>
        <w:t>- 14 - Du Le présent arrêt, dont la rédaction a été approuvée à huis clos, est notifié, par l'envoi d'une copie complète, à : - Me Guillaume de Candolle, avocat (pour A.Z.________), - Me Jean-Samuel Leuba, avocat (pour S.________),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