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PE18.017583 vom 11. Juni 2021</w:t>
      </w:r>
    </w:p>
    <w:p>
      <w:r>
        <w:t>VD Tribunal cantonal, 2021-06-11, FR</w:t>
      </w:r>
    </w:p>
    <w:p>
      <w:r>
        <w:rPr>
          <w:b/>
        </w:rPr>
        <w:t xml:space="preserve">Quelle: </w:t>
      </w:r>
      <w:r>
        <w:t>https://mcp.opencaselaw.ch/entscheid/vd_gerichte_PE18.017583</w:t>
      </w:r>
    </w:p>
    <w:p>
      <w:r>
        <w:t>FR: VD_GERICHTE PE18.017583 du 11 juin 2021</w:t>
      </w:r>
    </w:p>
    <w:p>
      <w:r>
        <w:t>IT: VD_GERICHTE PE18.017583 del 11 giugno 2021</w:t>
      </w:r>
    </w:p>
    <w:p>
      <w:pPr>
        <w:pStyle w:val="Heading2"/>
      </w:pPr>
      <w:r>
        <w:t>Erwägungen</w:t>
      </w:r>
    </w:p>
    <w:p>
      <w:r>
        <w:rPr>
          <w:b/>
        </w:rPr>
        <w:t>E. 1</w:t>
      </w:r>
    </w:p>
    <w:p>
      <w:r>
        <w:t>avec son dos appuyé contre le dossier du siège, Q.________ aurait atteint plus facilement les pédales et aisément avec sa main droite, la boîte de vitesse ;</w:t>
      </w:r>
    </w:p>
    <w:p>
      <w:r>
        <w:rPr>
          <w:b/>
        </w:rPr>
        <w:t>E. 2</w:t>
      </w:r>
    </w:p>
    <w:p>
      <w:r>
        <w:t>dans la même position, A.________ aurait eu des difficultés à arriver avec les pieds aux pédales et avec la main droite à la boîte de vitesse ;</w:t>
      </w:r>
    </w:p>
    <w:p>
      <w:r>
        <w:rPr>
          <w:b/>
        </w:rPr>
        <w:t>E. 3</w:t>
      </w:r>
    </w:p>
    <w:p>
      <w:r>
        <w:t>en considérant le mouvement des passagers vers l’avant et la droite dans le véhicule avant le choc, estimée par le [...], il y a probablement eu un impact entre la tête du conducteur et le rétroviseur interne ;</w:t>
      </w:r>
    </w:p>
    <w:p>
      <w:r>
        <w:rPr>
          <w:b/>
        </w:rPr>
        <w:t>E. 4</w:t>
      </w:r>
    </w:p>
    <w:p>
      <w:r>
        <w:t>la superposition du rétroviseur et des plaies du visage de Q.________ montre des correspondances ;</w:t>
      </w:r>
    </w:p>
    <w:p>
      <w:r>
        <w:t>- 22 -</w:t>
      </w:r>
    </w:p>
    <w:p>
      <w:r>
        <w:rPr>
          <w:b/>
        </w:rPr>
        <w:t>E. 5</w:t>
      </w:r>
    </w:p>
    <w:p>
      <w:r>
        <w:t>la superposition du rétroviseur et de la plaie sur le front au- dessus du sourcil droit d’A.________ montre des correspondances partielles et des non-correspondances entre le bord du rétroviseur et la plaie. Contrairement à l’appréciation du premier juge, on ne saurait retenir un déplacement du siège, les experts du [...] ayant vérifié que cela n’avait pas été le cas auprès de la police (P. 105, p. 21). L’expert V.________ a également vérifié ce point, expliquant lors des débats de première instance que personne n’avait bougé la position du siège, ni les gens du [...], ni les pompiers (jugt, p. 18). Il a relevé que le sergent [...] avait demandé aux personnes intervenues sur place, soit les ambulanciers et les pompiers, s’ils avaient bougé le siège et le sergent lui avait retourné l’information que cela n’avait pas été le cas et que les personnes en question avaient confirmé par après ne pas avoir touché la position du siège (jugt, p. 20). Par ailleurs, le fait que le dossier du siège conducteur ait été enlevé pour permettre la désincarcération des passagers n’implique pas nécessairement un déplacement du siège. Cela étant, on ne saurait suivre le raisonnement du premier juge selon lequel même si le siège n’avait pas été déplacé, cela n’excluait pas qu’A.________ ait pu conduire, puisqu’elle aurait de toute manière pu atteindre les pédales et qu’elle aurait uniquement été empêchée de freiner jusqu’au fond ; en effet, on voit mal comment la jeune femme, qui avait peur de conduire (jugt, p. 12 ; PV aud. 7, p. 3 R. 20) et qui avait très peu d’expérience – et aucune en Suisse –, ait pu conduire ce jour-là, dans de telles circonstances, avec à bord quatre passagers, sur un chemin interdit à la circulation des voitures et qui plus est à une vitesse qui selon l’expert n’était pas adaptée aux lieux (jugt, p. 17). Le rapport d’expertise technique de circulation établi par V.________ – dont il n’y a pas de raison de s’écarter – conclut également que la personne assise à la place du conducteur devait être, avec une grande probabilité, Q.________ (P. 77, p. 30), ce que l’expert a confirmé lors des débats de première instance.</w:t>
      </w:r>
    </w:p>
    <w:p>
      <w:r>
        <w:t>- 23 - Concernant la dynamique des corps, l’expert a formulé l’hypothèse qu’en fonction des vitesses obtenues, de la position de collision, le véhicule, lors du choc, ayant été poussé quasi perpendiculairement à sa position initiale, et de la cinématique qui s’en est suivie, une personne assise à l‘arrière gauche devrait être projetée sur la droite en direction de l’espace vide situé entre les deux sièges avant. Le mouvement devrait également être identique pour le conducteur potentiellement retenu par la ceinture de sécurité. Les trois autres passagers, au vu de l’enfoncement important du flanc droit, n’auraient bougé que vers l’avant. La personne assise à l’arrière au centre aurait été projetée en direction du siège avant droit mais également prise en étau entre les passagers arrière. Cela permet ainsi d’expliquer comment A.________, qui était assise à l’arrière, à gauche, sans ceinture, ait pu se retrouver entre les deux sièges avant, tout en tenant compte de la possibilité qu’entre l’accident et le moment où elle a été vue contre la vitre, elle ait bougé pour soulager ses douleurs et, comme l’indique l’expert, qu’elle ait été poussée par la passagère avant droite (jugt, pp. 19-20). Au vu de ces divers éléments, les déclarations initiales d’A.________ – alors non assistée –, selon lesquelles il était possible qu’elle ait été la conductrice au moment de l’accident, la probabilité étant de l’ordre de 10 % (PV aud. 4, R. 8), ne sont pas déterminantes. On constatera par ailleurs que si, en réponse à la question « ce pourrait-il que ce soit vous qui conduisiez ce véhicule ? », la prénommée a admis cette éventualité, c’est après avoir toutefois précisé « Je ne peux pas dire non car je ne me rappelle de rien ». Il est en effet admis que l’intéressée a été frappée d’amnésie en raison de l’accident. Les propos qu’elle a tenus sur la possibilité qu’elle ait conduit la voiture au moment des faits ne se fondent donc pas sur son souvenir de l’accident et ne constituent dès lors pas un aveu (cf. ég. jugt, pp. 12-13). Ensuite, informée par la police qu’elle avait été retrouvée par les secours dans l’espace réservé au conducteur et invitée à expliquer comment cela était possible, A.________ a répondu « peut-être que personne ne savait conduire et j’ai pris le volant. G.________ sait conduire, par contre les autres non (…). Autrement, je ne</w:t>
      </w:r>
    </w:p>
    <w:p>
      <w:r>
        <w:t>- 24 - peux pas expliquer pourquoi je me suis retrouvée au volant » (PV aud. 4, R. 9). Or, comme on l’a vu, ses explications ont par la suite été contredites non seulement par G.________ et Q.________, qui ont indiqué que R.________ savait conduire et que c’est elle qui aurait très vraisemblablement pris le volant si ce dernier avait eu un problème, mais également et surtout par l’expert lui-même, qui a retenu, avec une grande probabilité, pour les raisons relevées ci-dessus, que c’était bien le prévenu qui était le conducteur du véhicule au moment de l’accident malgré la position d’A.________ lors de l’intervention des secours. Enfin, force est de constater que devant le Tribunal de police, Q.________ a confirmé être au volant du véhicule lors de l’accident (jugt, p.</w:t>
      </w:r>
    </w:p>
    <w:p>
      <w:r>
        <w:rPr>
          <w:b/>
        </w:rPr>
        <w:t>E. 5.1</w:t>
      </w:r>
    </w:p>
    <w:p>
      <w:r>
        <w:t>Le Ministère public conclut à la condamnation de Q.________ pour homicide par négligence, lésions corporelles graves par négligence et violation simple des règles de la circulation routière.</w:t>
      </w:r>
    </w:p>
    <w:p>
      <w:r>
        <w:rPr>
          <w:b/>
        </w:rPr>
        <w:t>E. 5.2.1</w:t>
      </w:r>
    </w:p>
    <w:p>
      <w:r>
        <w:t>L'art. 117 CP (Code pénal suisse du 21 décembre 1937 ; RS 311.0) réprime le comportement de celui qui, par négligence, aura causé la mort d'une personne. La réalisation de cette infraction suppose la réunion de trois conditions : le décès d'une personne, une négligence et un lien de causalité entre la négligence et la mort (ATF 122 IV 145 consid. 3; TF 6B_512/2010 du 26 octobre 2010 consid. 2.1). L'art. 125 CP réprime le comportement de celui qui, par négligence, aura causé une atteinte à l'intégrité corporelle ou à la santé</w:t>
      </w:r>
    </w:p>
    <w:p>
      <w:r>
        <w:t>- 25 - d'une personne. Si la lésion est grave le délinquant sera poursuivi d'office. La réalisation de cette infraction suppose la réunion de trois conditions : l'existence de lésions corporelles, une négligence et un lien de causalité entre la négligence et les lésions. Les art. 117 et 125 CP incriminent ainsi de façon générale tout comportement caractérisant une violation des règles de prudence ou de diligence et qui se trouve être la cause de la lésion du bien protégé.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compte tenu de ses circonstances personnelles, une inattention ou un manque d'effort blâmable (ATF 143 IV 138 consid. 2.1 ; ATF 135 IV 56 consid. 2.1 ; ATF 134 IV 255 consid. 4.2.3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consid. 2.1 ; ATF 135 IV 56 consid. 2.1 ; ATF 122 IV 133 consid. 2a). Il faut ensuite qu'il existe un rapport de causalité entre la violation fautive du devoir de prudence et le décès de la victime, respectivement la lésion subie par cette dernière.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143 III 242 consid. 3.7 ; ATF 133 IV 158 consid. 6.1 ; ATF 131 IV 145 consid. 5). En cas de violation du devoir de prudence par omission, il faut procéder par hypothèse et se demander si l'accomplissement de l'acte omis aurait, selon le cours ordinaire des choses et l'expérience de la vie, évité la survenance du résultat qui s'est produit. Il s'agit ainsi d'établir, avec une très grande vraisemblance, que l'accomplissement de ce que l'auteur a omis d'exécuter contrairement aux devoirs qui lui incombaient</w:t>
      </w:r>
    </w:p>
    <w:p>
      <w:r>
        <w:t>- 26 - aurait permis d'éviter la survenance du résultat. La causalité adéquate est ainsi exclue lorsque l'acte attendu n'aurait vraisemblablement pas empêché la survenance du résultat ou lorsqu'il serait simplement possible qu'il l'eût empêché (TF 6B_244/2019 du 10 avril 2019 consid. 4.1 ; TF 6B_948/2017 du 8 mars 2018 consid. 4.1 ; TF 6B_177/2017 du 6 septembre 2017 consid. 4.1).</w:t>
      </w:r>
    </w:p>
    <w:p>
      <w:r>
        <w:rPr>
          <w:b/>
        </w:rPr>
        <w:t>E. 5.2.2</w:t>
      </w:r>
    </w:p>
    <w:p>
      <w:r>
        <w:t>En vertu de l’art. 27 al. 1, 1re phrase, LCR (loi fédérale sur la circulation routière du 19 décembre 1958 ; RS 741.01), chacun se conformera aux signaux et aux marques ainsi qu’aux ordres de la police. Selon l'art. 31 al. 1 LCR, le conducteur devra rester constamment maître de son véhicule, de façon à pouvoir se conformer aux devoirs de la prudence. L'art. 3 al. 1 de l'ordonnance sur les règles de la circulation routière (OCR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 2.1 ; TF 6B_873/2014 du 5 janvier 2015 consid. 2.1 et la référence citée). Selon l'art. 32 al. 1 LCR, la vitesse doit toujours être adaptée aux circonstances, notamment aux particularités du véhicule et du chargement, ainsi qu'aux conditions de la route, de la circulation et de la</w:t>
      </w:r>
    </w:p>
    <w:p>
      <w:r>
        <w:t>- 27 - visibilité. L'art. 4 al. 1 OCR précise notamment que le conducteur ne doit pas circuler à une vitesse qui l'empêcherait de s'arrêter sur la distance à laquelle porte sa visibilité. L'art. 36 al. 2 LCR dispose qu'aux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Le droit de priorité confère à son bénéficiaire le droit de circuler sans être gêné dans sa progression. Il ne l'exonère toutefois pas de ses devoir généraux de prudence ni du respect des autres règles de circulation. S'il existe des indices concrets que des usagers vont se comporter de façon incorrecte, il lui appartient, conformément à l'art. 26 al. 2 LCR, d'observer une prudence particulière par rapport à ces autres usagers, sous peine d'être privé de se prévaloir du principe de la confiance. Le prioritaire qui doit être en mesure de s'apercevoir qu'il ne peut exercer son droit de priorité sans accident doit faire tout son possible pour éviter une collision (ATF 92 IV 138 consid. 1 p. 140; TF 6B_69/2017 du 28 novembre 2017 consid. 2.2.2; TF 6B_335/2016 du 27 août 2015 consid. 1.4.2; TF 6S.224/2003 du 3 janvier 2004 consid. 2; cf. aussi TF 6B_783/2008 du 4 décembre 2008 consid. 3.3; Bussy/ Rusconi/Jeanneret/Kuhn/Mizel/Müller, Code suisse de la circulation routière commenté, 4e éd. 2015, rem. 3.1.2 ad art. 36 LCR).</w:t>
      </w:r>
    </w:p>
    <w:p>
      <w:r>
        <w:rPr>
          <w:b/>
        </w:rPr>
        <w:t>E. 5.2.3</w:t>
      </w:r>
    </w:p>
    <w:p>
      <w:r>
        <w:t>En vertu de l'art. 90 al. 1 LCR, celui qui aura violé les règles de la circulation fixées par la présente loi ou par les prescriptions d’exécution émanant du Conseil fédéral sera puni de l’amende.</w:t>
      </w:r>
    </w:p>
    <w:p>
      <w:r>
        <w:rPr>
          <w:b/>
        </w:rPr>
        <w:t>E. 5.3</w:t>
      </w:r>
    </w:p>
    <w:p>
      <w:r>
        <w:t>En l’espèce, les éléments objectifs et subjectifs des infractions d’homicide par négligence et de lésions corporelles graves par négligence sont remplis, R.________ ayant succombé à ses blessures quelques jours après l’accident et les trois autres passagères du véhicule, dont la vie a potentiellement été mise en danger, ayant été grièvement blessées. En</w:t>
      </w:r>
    </w:p>
    <w:p>
      <w:r>
        <w:t>- 28 - particulier, la violation du devoir de prudence réside tout d’abord, comme l’acte d’accusation le retient, dans l’inobservation de la règle générale de l'art. 27 al. 1 LCR, imposant à chacun de se conformer aux signaux et aux marques, Q.________ ayant circulé sur un chemin interdit à la circulation des voitures (OSR [ordonnance sur la signalisation routière ; RS 741.21], annexe 2, ch. 2.13). Il est également reproché à ce dernier une inattention au sens de l’art. 31 al. 1 LCR, pour n’avoir pas porté une attention particulière aux usagers de la route pouvant venir sur la droite et n’avoir ainsi pas vu arriver le camion. La violation du devoir de prudence réside également dans le fait de n’avoir pas adapté la vitesse à l’approche d’une intersection où la visibilité était fortement restreinte, comme le prescrit l’art. 32 al. 1 LCR, l’intéressé circulant à une vitesse comprise entre 62 et 66 km/h, ainsi que dans l’inobservation de la priorité de droite à cet endroit au sens de l'art. 36 al. 2 LCR. Q.________ n’a pas accompli les efforts qui pouvaient être raisonnablement attendus de lui dans les circonstances du cas d’espèce. Ce manque d’effort est blâmable, d’autant qu’il a lui-même admis qu’il empruntait souvent ce chemin alors qu’il savait qu’il était interdit à la circulation des véhicules automobiles (PV aud. 8, l. 89 ss). Le lien de causalité adéquat ne pose pas de difficulté, étant précisé que s’agissant d’un cas de violation du devoir de prudence, l’observation des règles de la circulation routière précitées aurait permis d’éviter l’accident mortel dont le prénommé doit être reconnu unique responsable. Toute rupture du lien de causalité est exclue, aucun reproche ne pouvant être formulé à l’égard du chauffeur du camion qui, venant de droite, avait la priorité et circulait à une vitesse – adaptée – de 47 km/h ; malgré un ralentissement du camion, suivi d’un début de freinage peu avant le choc, la collision n’a pas pu être évitée, de sorte qu’on ne discerne aucune violation de son droit de priorité par ledit chauffeur. Par ailleurs, le prévenu pouvait et devait s’attendre à ce qu’un usager de la route – autorisé, contrairement à lui, à circuler sur ce chemin – puisse arriver par la droite. Q.________ doit donc être condamné pour homicide par négligence et lésions corporelles graves par négligence. Il sera également</w:t>
      </w:r>
    </w:p>
    <w:p>
      <w:r>
        <w:t>- 29 - condamné pour violation simple des règles de la circulation routière au sens de l'art. 90 al. 1 LCR pour avoir circulé sur une route interdite aux véhicules automobiles et aux motocycles (OSR, annexe 2, ch. 2.13), les faits n’étant pas prescrits (art. 97 al. 3 CP ; ATF 139 IV 62). 6. 6.1 Le prévenu étant reconnu coupable, il appartient à la Cour de céans de fixer la peine à infliger à Q.________. 6.2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 ; TF 6B_654/2018 du 5 septembre 2018 consid. 3.1). 6.3 L’appréciation faite par le Ministère public est pertinente. Objectivement, la culpabilité de Q.________ doit être qualifiée d’importante. En effet, comme le relève à juste titre le Parquet, en n’adaptant pas sa vitesse à l’approche d’une intersection régie par la priorité de droite et où</w:t>
      </w:r>
    </w:p>
    <w:p>
      <w:r>
        <w:t>- 30 - la visibilité était fortement restreinte, et en n’accordant pas la priorité au camion arrivant sur la droite, tout en sachant qu’il n’avait pas le droit de circuler sur ce tronçon, le prévenu a créé un sérieux danger pour la sécurité d’autrui ou en a, à tout le moins, pris le risque. Sa négligence doit ainsi être qualifiée de faute grave, alors qu’aucune circonstance ne le limitait, à ce moment-là, dans ses actions consistant à ralentir, voire même à s’arrêter, afin de s’assurer de l’absence de véhicule arrivant sur la droite. Cette prise de risque a eu pour conséquence le décès d’une des passagères du véhicule et les lésions corporelles graves subies par les autres. A décharge, il faut tenir compte du fait que l’auteur, lui-même blessé et hospitalisé, s’est enquis de l’état de santé des victimes (PV aud. 8, p. 6 in initio ; PV aud. 5, p. 3 in initio) ; il semble en outre affecté par les événements et devra vivre avec le fardeau de cet accident tragique sur la conscience. De plus, son intégration sociale paraît bonne. Quant à l'absence d'antécédents, celle-ci a un effet neutre sur la fixation de la peine et n'a donc pas à être prise en considération comme élément à décharge (cf. ATF 136 IV 1 consid. 2.6.4). Dès lors, au regard de la culpabilité de Q.________ et de sa situation financière, une peine pécuniaire de 180 jours-amende à 30 fr. le jour, avec sursis pendant 2 ans, est adéquate pour réprimer les infractions d’homicide par négligence et de lésions corporelles graves par négligence. En revanche, au vu des circonstances, on renoncera à prononcer une amende à titre de sanction immédiate, comme requis par le Procureur. Enfin, une amende de 100 fr., convertible en 1 jour de peine privative de liberté de substitution en cas de non-paiement fautif dans le délai imparti, doit être prononcée afin de sanctionner la violation simple des règles de la circulation. 7. 7.1 En définitive, l’appel du Ministère public doit être admis et le dispositif du jugement entrepris réformé dans le sens des considérants qui précèdent.</w:t>
      </w:r>
    </w:p>
    <w:p>
      <w:r>
        <w:t>- 31 - 7.2 Le prévenu succombant entièrement à l’action pénale, les frais de la procédure de première instance qui le concernent, fixés à 38'728 fr. 20 (cf. fourre des frais), incluant l’indemnité allouée à son défenseur d’office par 14'213 fr. 30, doivent être mis à sa charge (art. 426 al. 1, 1re phrase, CPP), le solde étant laissé à la charge de l’Etat. L’intéressé sera tenu de rembourser à l’Etat le montant de l’indemnité en faveur de son défenseur d’office dès que sa situation financière le permettra. Le dispositif du jugement sera également modifié dans ce sens. 7.3 Me Yaël Hayat, défenseur d’office de Q.________, a produit une liste d'opérations (P. 196) faisant état, hors temps d’audience, d’une activité de 15h30, soit 8h30 par l’avocate brevetée et 7h30 par l’avocate- stagiaire, ce qui peut être admis, à l’exception du poste relatif à la préparation de l’audience d’appel, qui ne saurait être compté à double, de sorte qu’il convient de retrancher le temps (6h00) consacré par l’avocate- stagiaire à ce titre. En tenant compte de la durée de l’audience, par 2h30, le montant des honoraires s'élève ainsi à 2'055 fr. ([10h30 x 180] + [1h30 x 110]), auxquels s'ajoutent une indemnité forfaitaire de vacation, par 120 fr., des débours forfaitaires au taux de 2% (cf. art. 3bis al. 1 RAJ [règlement sur l’assistance judiciaire en matière civile du 7 décembre 2010 ; BLV 211.02.3], applicable par renvoi de l’art. 26b TFIP [tarif des frais de procédure et indemnités en matière pénale du 28 septembre 2010 ; BLV 312.03.1]), par 41 fr. 10, et la TVA au taux de 7,7 % sur le tout, par 170 fr. 65, de sorte que c'est une indemnité totale de 2'386 fr. 75 qui sera allouée à Me Hayat, à la charge de Q.________. Au vu de la liste d’opérations produite par Me Charles Munoz (P. 197), conseil d’office d’A.________, dont il n'y a lieu de s'écarter que pour rectifier le temps de l’audience à 150 minutes en lieu et place des 90 comptabilisées, c’est une indemnité de 1'595 fr. 80, correspondant à 7h25 d’activité au tarif horaire de 180 fr., à 26 fr. 70 de débours, à 120 fr. de</w:t>
      </w:r>
    </w:p>
    <w:p>
      <w:r>
        <w:t>- 32 - vacation et à 114 fr. 10 de TVA, qui doit lui être allouée. Au vu des circonstances, cette indemnité sera laissée à la charge de l’Etat. Me Lise-Marie Gonzalez Pennec conseil d’office de G.________, O.________, [...], n’a pas déposé de liste d’opérations. Une indemnité d’un montant de 722 fr. 45, correspondant à 3h00 d’activité au tarif horaire d’avocat de 180 fr., à 10 fr. 80 de débours, à 120 fr. de vacation et à 51 fr. 65 de TVA, lui sera allouée. Cette indemnité sera également laissée à la charge de l’Etat. Vu l’issue de la cause, les frais de la procédure d’appel, par 5'506 fr. 75, soit l’émolument de jugement par 3'120 fr. (art. 21 al. 1 et 2 TFIP [tarif des frais de procédure et indemnités en matière pénale du 28 septembre 2010 ; BLV 312.03.1]) et l’indemnité allouée au défenseur d’office de Q.________, par 2'386 fr. 75, seront mis à la charge de ce dernier (art. 428 al. 1, 1re phrase, CPP). Q.________ ne sera tenu de rembourser à l’Etat le montant de l’indemnité en faveur de son défenseur d’office que lorsque sa situation financière le permettra (art. 135 al. 4 let. a CPP).</w:t>
      </w:r>
    </w:p>
    <w:p>
      <w:r>
        <w:rPr>
          <w:b/>
        </w:rPr>
        <w:t>E. 9</w:t>
      </w:r>
    </w:p>
    <w:p>
      <w:r>
        <w:t>par. 2 et p. 10). Il a indiqué que c’était uniquement sur la base des éléments du dossier et de l’expertise qu’il avait déduit que ce n’était pas lui qui conduisait (jugt, p. 10 par. 2 ; p. 4 supra), alors que, comme on l’a vu ci-dessus, ces mêmes éléments amènent à la conclusion contraire. Ainsi, au regard de l’ensemble des éléments qui précèdent, il ne fait aucun doute que Q.________ était le conducteur au moment de l’accident.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