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PE18.017579 vom 28. September 2018</w:t>
      </w:r>
    </w:p>
    <w:p>
      <w:r>
        <w:t>VD Tribunal cantonal, 2018-09-28, FR</w:t>
      </w:r>
    </w:p>
    <w:p>
      <w:r>
        <w:rPr>
          <w:b/>
        </w:rPr>
        <w:t xml:space="preserve">Quelle: </w:t>
      </w:r>
      <w:r>
        <w:t>https://mcp.opencaselaw.ch/entscheid/vd_gerichte_PE18.017579</w:t>
      </w:r>
    </w:p>
    <w:p>
      <w:r>
        <w:t>FR: VD_GERICHTE PE18.017579 du 28 septembre 2018</w:t>
      </w:r>
    </w:p>
    <w:p>
      <w:r>
        <w:t>IT: VD_GERICHTE PE18.017579 del 28 settembre 2018</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2e éd., Bâle 2016, n. 24 ad art. 263 CPP ; Lembo/Julen Berthod, in : Kuhn/Jeanneret [éd.], Commentaire romand, Code de procédure pénale suisse, Bâle 2011, n. 4 ad art. 267 CPP ; CREP 7 avril 2018/265 et les références citées). Ce recours s’exerce dans les dix</w:t>
      </w:r>
    </w:p>
    <w:p>
      <w:r>
        <w:t>- 4 -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Dans le cadre d’un recours contre une ordonnance de séquestre, un intérêt juridiquement protégé doit être reconnu à celui qui jouit sur les objets ou valeurs confisqués d'un droit de propriété ou d'un droit réel limité (TF 1B_94/2012 du 2 avril 2012 consid. 2 et les arrêts cités, SJ 2012 I p. 353).</w:t>
      </w:r>
    </w:p>
    <w:p>
      <w:r>
        <w:rPr>
          <w:b/>
        </w:rPr>
        <w:t>E. 1.2</w:t>
      </w:r>
    </w:p>
    <w:p>
      <w:r>
        <w:t>Interjeté en temps utile (art. 396 al. 1 CPP) contre une ordonnance de séquestre du Ministère public (art. 263 al. 1 et 393 al. 1 let. a CPP), par le prévenu, détenteur de l'argent séquestré et qui a ainsi un intérêt juridique à l’annulation ou à la modification de l’ordonnance, dans les formes prescrites (art. 385 al. 1 CPP), le recours est recevable.</w:t>
      </w:r>
    </w:p>
    <w:p>
      <w:r>
        <w:rPr>
          <w:b/>
        </w:rPr>
        <w:t>E. 2.1</w:t>
      </w:r>
    </w:p>
    <w:p>
      <w:r>
        <w:t>Le recourant conteste la proportionnalité de cette mesure, au motif que celle-ci (probatoire et à titre de garantie d’une éventuelle future confiscation) serait disproportionnée au regard des soupçons pesant sur lui. Il fait valoir que l’escroquerie à l’ECA ne pourrait pas porter sur un montant supérieur aux acomptes reçus (soit 177'000 fr.) et que l’infraction fiscale consistant éventuellement à ne pas avoir déclaré ses économies au fisc ne pourrait aboutir qu’au paiement d’un rétroactif sur dix ans de 129'445 fr., en sus d’une amende. Il en conclut que le séquestre d’un montant d’un million de francs serait suffisant et sollicite la levée du séquestre sur le solde, notamment en vue d’effectuer les travaux de remise en état de la maison, ensuite de l’incendie survenu en février 2018.</w:t>
      </w:r>
    </w:p>
    <w:p>
      <w:r>
        <w:rPr>
          <w:b/>
        </w:rPr>
        <w:t>E. 2.2</w:t>
      </w:r>
    </w:p>
    <w:p>
      <w:r>
        <w:t>- 5 -</w:t>
      </w:r>
    </w:p>
    <w:p>
      <w:r>
        <w:rPr>
          <w:b/>
        </w:rPr>
        <w:t>E. 2.2.1</w:t>
      </w:r>
    </w:p>
    <w:p>
      <w:r>
        <w:t>; Moreillon/Parein-Reymond, op. cit., n. 20 ad art. 263 CPP et les références citées). Il doit exister un rapport de connexité entre l’objet du séquestre conservatoire et l'infraction poursuivie (principe de spécialité) (Lembo/Julen Berthod, op. cit., n. 17 ad art. 263 CPP ; ATF 140 IV 57 consid. 4.1.2). Ce lien de connexité existe lorsque l'objet séquestré est en relation directe avec l'infraction, qu'il ait servi à la commettre ou en soit le produit (Lembo/Julen Berthod, op. cit., n. 24 ad art. 263 CPP).</w:t>
      </w:r>
    </w:p>
    <w:p>
      <w:r>
        <w:rPr>
          <w:b/>
        </w:rPr>
        <w:t>E. 2.2.2</w:t>
      </w:r>
    </w:p>
    <w:p>
      <w:r>
        <w:t>Le séquestre probatoire (art.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op. cit., n. 5 ad art. 263 CPP ; Bommer/Goldschmid, in : Niggli/Heer/ Wiprächtiger [éd.], Basler Kommentar, Schweizerische Strafprozessordnung, Jugendstraf- prozessordnung, 2e éd., Bâle 2014, n. 5 ante art. 263-268 CPP et n. 9 ad art. 263 CPP).</w:t>
      </w:r>
    </w:p>
    <w:p>
      <w:r>
        <w:rPr>
          <w:b/>
        </w:rPr>
        <w:t>E. 2.2.3</w:t>
      </w:r>
    </w:p>
    <w:p>
      <w:r>
        <w:t>Le séquestre en vue de la restitution au lésé (art. 263 al. 1 let. c CPP) consiste à placer en main de justice des objets ou valeurs patrimoniales dans le but de les rendre au lésé en rétablissement des droits qui lui seront reconnus au terme du procès (Lembo/Julen Berthod, op. cit., n. 12 ad art. 263 CPP). Ce type de séquestre est, selon la jurisprudence et la doctrine, limité aux valeurs patrimoniales et aux objets qui ont été soustraits à la personne lésée directement du fait de l’infraction, soit aux choses dont l’ayant droit a été dépouillé par l’infraction, mais aussi aux comptes alimentés grâce à l’infraction (Message du Conseil fédéral relatif à l'unification du droit de la procédure pénale du 21 décembre 2005, FF 2006 pp. 1057 ss, spéc. p. 1227). Si un lien direct ne peut pas être établi entre les objets ou valeurs patrimoniales et l’infraction, le séquestre ne peut pas être ordonné et ne saurait être licite (Moreillon/Parein-Reymond, op. cit., n. 17 ad art. 263 CPP et les réf. citées).</w:t>
      </w:r>
    </w:p>
    <w:p>
      <w:r>
        <w:rPr>
          <w:b/>
        </w:rPr>
        <w:t>E. 2.2.4</w:t>
      </w:r>
    </w:p>
    <w:p>
      <w:r>
        <w:t>Le séquestre de type conservatoire (art. 263 al. 1 let. d CPP) consiste en la confiscation des biens en raison du danger qu'ils présentent pour la sécurité des personnes, la morale ou l'ordre public (art. 69 CP [Code pénal suisse du 21 décembre 1937 ; RS 311.0), de leur origine ou de</w:t>
      </w:r>
    </w:p>
    <w:p>
      <w:r>
        <w:t>- 7 - leur utilisation criminelle (art. 70 et 72 CP) pour autant que l'on puisse admettre, prima facie, qu'ils pourront être confisqués en application du droit fédéral (ATF 141 IV 360 consid. 3.2 ; ATF 140 IV 57 consid. 4.1.1 ; Lembo/Julen Berthod, op. cit., n. 7 ad art. 263 CPP). Cette mesure conservatoire est fondée sur la vraisemblance : la seule probabilité que ces biens soient issus d’une infraction ou aient servi à la commission d’une infraction est suffisant, tant que l'instruction n'est pas achevée (CREP 15 décembre 2017/863 consid. 2.1 ; CREP 1er février 2018/71 consid.</w:t>
      </w:r>
    </w:p>
    <w:p>
      <w:r>
        <w:rPr>
          <w:b/>
        </w:rPr>
        <w:t>E. 2.2.5</w:t>
      </w:r>
    </w:p>
    <w:p>
      <w:r>
        <w:t>Un séquestre est proportionné lorsqu’il porte sur des avoirs dont on peut admettre en particulier qu’ils pourront vraisemblablement être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1B_118/2018 du 5 juillet 2018 consid. 4.1 ; TF 1B_145/2016 du 1er juillet 2016 consid. 3.1 et les arrêts cités), et un séquestre ne peut être levé que dans l’hypothèse où il est d’emblée manifeste et indubitable que les conditions matérielles d’une confiscation, respectivement du prononcé d’une créance compensatrice, ne sont pas réalisées et ne pourront pas l’être (ATF 140 IV 133 consid. 4.2.1 ; TF 1B_118/2018 précité et les réf.).</w:t>
      </w:r>
    </w:p>
    <w:p>
      <w:r>
        <w:rPr>
          <w:b/>
        </w:rPr>
        <w:t>E. 2.3</w:t>
      </w:r>
    </w:p>
    <w:p>
      <w:r>
        <w:t>Le recourant conteste la proportionnalité du séquestre. Il soutient que cette mesure est disproportionnée eu égard aux soupçons qui pèsent sur lui. Selon lui, l’escroquerie à l’ECA et l’éventuelle fraude fiscale ne pourraient porter que sur un montant d’environ 300'000 francs. En</w:t>
      </w:r>
    </w:p>
    <w:p>
      <w:r>
        <w:t>- 8 - outre, le montant séquestré proviendrait de ses économies et de celles des sociétés ([...] et [...]) qu’il exploite ; la prétendue fraude fiscale toucherait donc d’autres entités que lui-même.</w:t>
      </w:r>
    </w:p>
    <w:p>
      <w:r>
        <w:rPr>
          <w:b/>
        </w:rPr>
        <w:t>E. 2.4</w:t>
      </w:r>
    </w:p>
    <w:p>
      <w:r>
        <w:t>En l’espèce, il faut d’abord constater qu’il existe des soupçons que le recourant se soit rendu coupable d’une escroquerie au préjudice de l’ECA, ainsi que de soustraction d’impôts, en concours avec un usage de faux (cf. art. 146 CP et art. 175 et 186 LIFD [loi fédérale sur l'impôt fédéral direct du 14 décembre 1990 ; RS 642.11]. L’enquête, ayant débuté formellement le 7 septembre 2018, n’est qu’à ses débuts, et l’ampleur des montants obtenus au préjudice de l’ECA et soustraits au fisc ne peut être déterminé à ce stade ; en outre, comme l’amende peut être fixée en cas de faute grave à trois fois le montant soustrait (art. 175 al. 2 LIFD), le produit de l’infraction n’est pas seul à entrer en ligne de compte. Enfin, même si le recourant a prétendu que les fonds séquestrés provenaient de ses économies, et de celles de deux sociétés qui lui appartiendraient, il est nécessaire de le vérifier. En conclusion, au vu de ce qui précède, les conditions posées par la jurisprudence rappelée plus haut (cf. consid. 2.2.5) pour une levée du séquestre ne sont pas remplies. Il n’est pas d’emblée manifeste et indubitable que les conditions matérielles d’une confiscation, respectivement du prononcé d’une créance compensatrice, ne sont pas réalisées et ne pourront pas l’être. Aussi, les fonds litigieux doivent être maintenus à la disposition de la justice tant qu’il existe un doute sur la part de ceux-ci qui pourrait provenir d’une activité criminelle. Les conditions de l’art. 263 CPP sont donc réunies.</w:t>
      </w:r>
    </w:p>
    <w:p>
      <w:r>
        <w:rPr>
          <w:b/>
        </w:rPr>
        <w:t>E. 3</w:t>
      </w:r>
    </w:p>
    <w:p>
      <w:r>
        <w:t>Au vu de ce qui précède, le recours, manifestement mal fondé, doit être rejeté sans autre échange d’écritures (art. 390 al. 2 CPP) et l’ordonnance de séquestre confirmée.</w:t>
      </w:r>
    </w:p>
    <w:p>
      <w:r>
        <w:t>- 9 -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12 septembre 2018 est confirmée. III. Les frais de procédure, par 880 fr. (huit cent huitante francs), sont mis à la charge de J.________. IV. L’arrêt est exécutoire. Le président : La greffière : Du Le présent arrêt, dont la rédaction a été approuvée à huis clos, est notifié, par l'envoi d'une copie complète, à : - Me Philippe Maridor, avocat (pour J.________), - [...], - [...], - Ministère public central, et communiqué à : - Mme la Procureure de l’arrondissement du Nord vaudois,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