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PE18.017001 vom 4. Oktober 2018</w:t>
      </w:r>
    </w:p>
    <w:p>
      <w:r>
        <w:t>VD Tribunal cantonal, 2018-10-04, FR</w:t>
      </w:r>
    </w:p>
    <w:p>
      <w:r>
        <w:rPr>
          <w:b/>
        </w:rPr>
        <w:t xml:space="preserve">Quelle: </w:t>
      </w:r>
      <w:r>
        <w:t>https://mcp.opencaselaw.ch/entscheid/vd_gerichte_PE18.017001</w:t>
      </w:r>
    </w:p>
    <w:p>
      <w:r>
        <w:t>FR: VD_GERICHTE PE18.017001 du 4 octobre 2018</w:t>
      </w:r>
    </w:p>
    <w:p>
      <w:r>
        <w:t>IT: VD_GERICHTE PE18.017001 del 4 ottobre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t>- 3 -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fait grief à la Procureure de ne pas être entrée en matière sur sa plainte. Elle met notamment en évidence un courriel du 31 juillet 2017 de X.________ qui l’accuserait d’attenter à la vie de B.N.________ et qui, selon elle, serait constitutif d’une atteinte à l’honneur.</w:t>
      </w:r>
    </w:p>
    <w:p>
      <w:r>
        <w:t>- 4 -</w:t>
      </w:r>
    </w:p>
    <w:p>
      <w:r>
        <w:rPr>
          <w:b/>
        </w:rPr>
        <w:t>E. 3.2</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 amende au plus. L'inculpé n'encourra aucune peine s'il prouve que les allégations qu'il a articulées ou propagées sont conformes à la vérité ou qu'il avait des raisons sérieuses de les tenir de bonne foi pour vraies (art. 173 ch. 2 CP). Aux termes de l’art. 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Selon l’art. 31 CP, auquel renvoie l’art. 178 al. 2 CP, le droit de porter plainte se prescrit par trois mois. Les infractions contre l’honneur ne sont pas des délits de durée, mais des délits de situation (Dupuis et al., op. cit., n. 2 ad art. 178 CP). Les atteintes à l’honneur ne renferment en général pas d’éléments à caractère durable, chaque acte représentant un fait ponctuel (ATF 119 IV 199 consid. 2 ; en ce sens TF 6B_599/2014 du 15 décembre 2014 consid. 2.6.1 et 2.6.2). Le délai de plainte court dès le jour où l’ayant droit a eu connaissance de l’auteur et de l’acte délictueux, c’est-à-dire des éléments constitutifs objectifs et subjectifs de l’infraction (TF 6B_599/2014 du 15 décembre 2014 consid. 2.1).</w:t>
      </w:r>
    </w:p>
    <w:p>
      <w:r>
        <w:rPr>
          <w:b/>
        </w:rPr>
        <w:t>E. 3.3</w:t>
      </w:r>
    </w:p>
    <w:p>
      <w:r>
        <w:t>En l’occurrence, comme l’a relevé la Procureure, parmi les pièces produites par A.N.________, figure un courriel du 9 avril 2018 de cette dernière à X.________, dans lequel elle s’insurge contre les accusations de ce dernier de donner des substances médicamenteuses à sa mère (P. 5/3).</w:t>
      </w:r>
    </w:p>
    <w:p>
      <w:r>
        <w:t>- 5 - La plaignante avait ainsi connaissance de ce courriel, qu’elle juge attentatoire à l’honneur, au plus tard le 9 avril 2018. Elle n’a cependant déposé plainte que le 27 août 2018, de sorte que cette plainte est tardive. La Procureure met en outre en évidence qu’une précédente ordonnance de non-entrée en matière avait été rendue le 27 octobre 2017 dans la cause PE17.019606-AKA, suite à une plainte de A.N.________ contre X.________ et G.________, plainte qui, vu la formulation utilisée, parait avoir porté sur ce même courriel de X.________. La recourante ne conteste par ailleurs pas ce point puisqu’elle écrit dans son recours du 14 septembre 2018 : « Il est vrai que j’aurais dû formuler ma plainte en disant que, vers juillet 2018, dans les kilos de papiers accompagnant la curatelle de ma mère, j’ai re-découvert l’email du 31 juillet 2017 de X.________ qui s’est permis de déclarer me soupçonner d’attenter à la vie de ma mère (substances médicamenteuses), alors qu’il s’occupe très mal de ma mère ». Ces éléments confirment que la plainte déposée le 27 août 2018 est largement tardive et que c’est à bon droit que la procureure n’est pas entrée en matière sur ce point.</w:t>
      </w:r>
    </w:p>
    <w:p>
      <w:r>
        <w:rPr>
          <w:b/>
        </w:rPr>
        <w:t>E. 4</w:t>
      </w:r>
    </w:p>
    <w:p>
      <w:r>
        <w:t>S’agissant de la maltraitance évoquée par A.N.________, à savoir que sa mère manquerait de soins ou se serait vue refuser des piles pour un appareil acoustique, elle ne relève pas du droit pénal. La recourante pourrait plutôt saisir la Commission d'examen des plaintes des patients et des résidents ou usagers d'établissements sanitaires et d’établissements socio-éducatifs (art. 15d de la loi sur la santé publique (RSV 800.01), qui a pour mission d’assurer le respect des droits des patients et des résidents, et de traiter les plaintes relatives à la prise en charge par les professionnels de la santé ainsi que par les établissements ou institutions sanitaires touchant aux violations des droits de la personne. Au demeurant, on rappellera qu’une curatelle a été instituée en faveur de B.N.________ et qu’il appartiendrait plutôt à son curateur d’intervenir.</w:t>
      </w:r>
    </w:p>
    <w:p>
      <w:r>
        <w:rPr>
          <w:b/>
        </w:rPr>
        <w:t>E. 5</w:t>
      </w:r>
    </w:p>
    <w:p>
      <w:r>
        <w:t>- 6 -</w:t>
      </w:r>
    </w:p>
    <w:p>
      <w:r>
        <w:rPr>
          <w:b/>
        </w:rPr>
        <w:t>E. 5.1</w:t>
      </w:r>
    </w:p>
    <w:p>
      <w:r>
        <w:t>La recourante considère enfin que le directeur se serait rendu coupable de contrainte en appelant la police pour le motif qu’elle aurait usé de violences verbales.</w:t>
      </w:r>
    </w:p>
    <w:p>
      <w:r>
        <w:rPr>
          <w:b/>
        </w:rPr>
        <w:t>E. 5.2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 Dupuis et alii, op. cit, nn. 20 ss ad art. 181 CP).</w:t>
      </w:r>
    </w:p>
    <w:p>
      <w:r>
        <w:rPr>
          <w:b/>
        </w:rPr>
        <w:t>E. 5.3</w:t>
      </w:r>
    </w:p>
    <w:p>
      <w:r>
        <w:t>En l’espèce, le moyen, soit appeler la police, n’est pas illicite. S’agissant du but visé, à savoir tenter d’apaiser une situation très conflictuelle – et non, comme le soutient la recourante, de tenter de la censurer pour l’éloigner de sa mère –, il y a lieu de constater qu’il n’est pas illicite. Enfin, il n’y a pas de disproportion entre le moyen utilisé et le but visé. Partant, la décision de la Procureure sur ce point ne prête pas le flanc à la critique.</w:t>
      </w:r>
    </w:p>
    <w:p>
      <w:r>
        <w:rPr>
          <w:b/>
        </w:rPr>
        <w:t>E. 6</w:t>
      </w:r>
    </w:p>
    <w:p>
      <w:r>
        <w:t>En conclusion, le recours, manifestement mal fondé, doit être rejeté sans échange d’écritures (art. 390 al. 2 CPP) et l’ordonnance attaquée confirmée. Les frais de la procédure de recours, constitués en l’espèce de l’émolument d’arrêt, par 660 fr. (art. 20 al. 1 TFIP [Tarif des frais de procédure et indemnités en matière pénale du 28 septembre 2010 ; RSV 312.03.1]), seront mis à la charge de la recourante, qui succombe (art. 428 al. 1 CPP).</w:t>
      </w:r>
    </w:p>
    <w:p>
      <w:r>
        <w:t>- 7 - Par ces motifs, la Chambre des recours pénale prononce : I. Le recours est rejeté. II. L’ordonnance du 6 septembre 2018 est confirmée. III. Les frais d’arrêt, par 660 fr. (six cent soixante francs), sont mis à la charge de A.N.________. IV. L’arrêt est exécutoire. Le président : La greffière : Du Le présent arrêt, dont la rédaction a été approuvée à huis clos, est notifié, par l'envoi d'une copie complète, à : - Mme A.N.________,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