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PE18.016884 vom 26. Februar 2019</w:t>
      </w:r>
    </w:p>
    <w:p>
      <w:r>
        <w:t>VD Tribunal cantonal, 2019-02-26, FR</w:t>
      </w:r>
    </w:p>
    <w:p>
      <w:r>
        <w:rPr>
          <w:b/>
        </w:rPr>
        <w:t xml:space="preserve">Quelle: </w:t>
      </w:r>
      <w:r>
        <w:t>https://mcp.opencaselaw.ch/entscheid/vd_gerichte_PE18.016884</w:t>
      </w:r>
    </w:p>
    <w:p>
      <w:r>
        <w:t>FR: VD_GERICHTE PE18.016884 du 26 février 2019</w:t>
      </w:r>
    </w:p>
    <w:p>
      <w:r>
        <w:t>IT: VD_GERICHTE PE18.016884 del 26 febbraio 2019</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le prévenu qui a la qualité pour recourir (art. 382 al. 1 CPP), le recours est recevable en tant qu’il concerne la mise à sa charge d’une partie des frais de la procédure (CREP 9 octobre 2018/791 consid. 1).</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entreprise, à savoir les frais de procédure mis à la charge du recourant, ce pour un montant qui n’excède pas 5'000 francs. Le recours relève donc de la compétence d'un membre de la Chambre des recours pénale en tant que juge unique (CREP 8 octobre 2018/789; CREP 21 septembre 2018/737).</w:t>
      </w:r>
    </w:p>
    <w:p>
      <w:r>
        <w:rPr>
          <w:b/>
        </w:rPr>
        <w:t>E. 2.1</w:t>
      </w:r>
    </w:p>
    <w:p>
      <w:r>
        <w:t>Le recourant fait valoir que les faits ne justifiaient pas une audition devant la Procureure, que le couple s’était arrangé et que la</w:t>
      </w:r>
    </w:p>
    <w:p>
      <w:r>
        <w:t>- 4 - Procureure ne l’avait pas informé par avance que la procédure occasionnerait des frais.</w:t>
      </w:r>
    </w:p>
    <w:p>
      <w:r>
        <w:rPr>
          <w:b/>
        </w:rPr>
        <w:t>E. 2.2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illicite et fautif au regard du droit civil, qui soit en relation de causalité avec les frais imputés, entre en ligne de compte (ATF 119 Ia 332 consid. 1b; ATF 116 Ia 162, JdT 1992 IV 52; TF 6B_1115/2016 du 25 juillet 2017 consid. 2.1).</w:t>
      </w:r>
    </w:p>
    <w:p>
      <w:r>
        <w:rPr>
          <w:b/>
        </w:rPr>
        <w:t>E. 2.3</w:t>
      </w:r>
    </w:p>
    <w:p>
      <w:r>
        <w:t>Les faits survenus lors de l’altercation conjugale du 17 août 2018 apparaissent peu clairs et sont en partie contestés. Le rôle respectif des prévenus n’est pas établi. Aucune plainte n’a été déposée. Dans ces conditions, il ne peut guère être retenu que le recourant ait provoqué l'ouverture de la procédure pénale dirigée contre lui ou en ait entravé le cours par un comportement illicite et fautif au regard du droit civil. Ce qui précède s’applique également à l’épouse du recourant, dès lors que l’ordonnance ne distingue pas la situation des deux prévenus pour ce qui est du sort des frais. Il apparaît du reste que c’est pour ce motif que les prévenus semblent avoir été implicitement tenus pour débiteurs solidaires</w:t>
      </w:r>
    </w:p>
    <w:p>
      <w:r>
        <w:t>- 5 - des frais. Partant, le recours de l’époux doit déployer ses effets quant à l’entier des frais, donc aussi en ce qui concerne la co-responsabilité de l’épouse. Il n’est ainsi pas relevant que l’épouse n’ait pas recouru.</w:t>
      </w:r>
    </w:p>
    <w:p>
      <w:r>
        <w:rPr>
          <w:b/>
        </w:rPr>
        <w:t>E. 3</w:t>
      </w:r>
    </w:p>
    <w:p>
      <w:r>
        <w:t>En définitive, le recours doit être admis et l’ordonnance attaquée réformée en ce sens que les frais de la procédure sont laissés à la charge de l’Etat. Elle sera confirmée pour le surplus. La requête d’effet suspensif du 28 février 2019 n’a donc plus d’objet. Les frais de la procédure de recours, par 450 fr. (art. 20 al. 1 TFIP [Tarif des frais de procédure et indemnités en matière pénale du 28 septembre 2010; BLV 312.03.1]), seront laissés à la charge de l’Etat (art. 423 CPP). Par ces motifs, le juge unique prononce : I. Le recours est admis. II. L’ordonnance du 7 décembre 2018 est réformée à son chiffre V comme il suit : V. Laisse les frais de procédure, par 600 fr. (six cents francs), à la charge de l’Etat. Elle est confirmée pour le surplus. III. Les frais de la procédure de recours, par 450 fr. (quatre cent cinquante francs), sont laissés à la charge de l’Etat.</w:t>
      </w:r>
    </w:p>
    <w:p>
      <w:r>
        <w:t>- 6 - IV. L’arrêt est exécutoire. Le juge unique : Le greffier : Du Le présent arrêt, dont la rédaction a été approuvée à huis clos, est notifié, par l'envoi d'une copie complète, à : - M. G.________, - Mme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