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PE18.016643 vom 19. November 2018</w:t>
      </w:r>
    </w:p>
    <w:p>
      <w:r>
        <w:t>VD Tribunal cantonal, 2018-11-19, FR</w:t>
      </w:r>
    </w:p>
    <w:p>
      <w:r>
        <w:rPr>
          <w:b/>
        </w:rPr>
        <w:t xml:space="preserve">Quelle: </w:t>
      </w:r>
      <w:r>
        <w:t>https://mcp.opencaselaw.ch/entscheid/vd_gerichte_PE18.016643</w:t>
      </w:r>
    </w:p>
    <w:p>
      <w:r>
        <w:t>FR: VD_GERICHTE PE18.016643 du 19 novembre 2018</w:t>
      </w:r>
    </w:p>
    <w:p>
      <w:r>
        <w:t>IT: VD_GERICHTE PE18.016643 del 19 novembre 2018</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w:t>
      </w:r>
    </w:p>
    <w:p>
      <w:r>
        <w:rPr>
          <w:b/>
        </w:rPr>
        <w:t>E. 2</w:t>
      </w:r>
    </w:p>
    <w:p>
      <w:r>
        <w:t>- 5 -</w:t>
      </w:r>
    </w:p>
    <w:p>
      <w:r>
        <w:rPr>
          <w:b/>
        </w:rPr>
        <w:t>E. 2.1.1</w:t>
      </w:r>
    </w:p>
    <w:p>
      <w:r>
        <w:t>Selon l'art. 101 al. 2 CPP, d'autres autorités (réd. : que le ministère public)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en règle générale, ils sont remis à d'autres autorités ainsi qu'aux conseils juridiques des parties. D'après l'art. 102 al. 3 CPP, toute personne autorisée à consulter le dossier peut en demander une copie contre versement d'un émolument.</w:t>
      </w:r>
    </w:p>
    <w:p>
      <w:r>
        <w:rPr>
          <w:b/>
        </w:rPr>
        <w:t>E. 2.1.2</w:t>
      </w:r>
    </w:p>
    <w:p>
      <w:r>
        <w:t>La consultation du dossier par d'autres autorités (au sens de l'art. 101 al. 2 CPP) présuppose une pesée des intérêts en présence (Message relatif à l'unification du droit de la procédure pénale du 21 décembre 2005, FF 2006 pp. 1057 ss, spéc. 1140;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17 avril 2018/261; CREP 10 juillet 2017/461; CREP 23 décembre 2015/863).</w:t>
      </w:r>
    </w:p>
    <w:p>
      <w:r>
        <w:rPr>
          <w:b/>
        </w:rPr>
        <w:t>E. 2.1.3</w:t>
      </w:r>
    </w:p>
    <w:p>
      <w:r>
        <w:t>Aux termes de l'art. 176 al. 3 CC (Code civil suisse du 10 décembre 1907;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Dans le nouveau droit, la notion de "droit de garde" (Obhutsrecht) – qui se définissait auparavant comme la compétence de déterminer le lieu de résidence et le mode</w:t>
      </w:r>
    </w:p>
    <w:p>
      <w:r>
        <w:t>- 6 - d'encadrement de l'enfant (ATF 128 III 9 consid. 4a) – a été remplacée par le « droit de déterminer le lieu de résidence de l'enfant » (Recht, den Aufenthaltsort des Kindes zu bestimmen), qui constitue une composante à part entière de l'autorité parentale (cf. art. 301a al. 1 CC; ATF 142 III 617 consid. 3.2.2). La notion même du droit de garde étant abandonnée au profit de celle du droit de déterminer le lieu de résidence de l'enfant, le générique de « garde » (Obhut) se réduit désormais à la seule dimension de la « garde de fait » (faktische Obhut), qui se traduit par l'encadrement quotidien de l'enfant et par l'exercice des droits et des devoirs liés aux soins et à l'éducation courante (Meier/Stettler, Droit de la filiation, 5e éd. 2014, n. 462 p. 308 et n. 466 p. 311; Schwenzer/Cottier, in : Basler Kommentar, Zivilgesetzbuch, vol. I, 5e éd. 2014, n. 4 ad art. 298 CC p. 1634; De Weck- Immelé, in : Droit matrimonial, 2016, n. 195 ad art. 176 CC). Bien que l'autorité parentale conjointe soit désormais la règle et qu'elle comprenne le droit de déterminer le lieu de résidence de l'enfant (art. 296 al. 2 et 301a al. 1 CC; ATF 142 III 56 consid. 3, ATF 142 III 1 consid. 3.3 et les références citées), elle n'implique pas nécessairement l'instauration d'une garde alternée (TF 5A_266/2015 du 24 juin 2015 consid. 4.2.2.1; TF 5A_46/2015 du 26 mai 2015 consid. 4.4.3). Invité à statuer à cet égard, le juge doit néanmoins examiner, nonobstant et indépendamment de l'accord des parents quant à une garde alternée, si celle-ci est possible et compatible avec le bien de l'enfant (TF 5A_527/2015 du</w:t>
      </w:r>
    </w:p>
    <w:p>
      <w:r>
        <w:rPr>
          <w:b/>
        </w:rPr>
        <w:t>E. 2.2</w:t>
      </w:r>
    </w:p>
    <w:p>
      <w:r>
        <w:t>Le recourant soutient qu’avant de statuer, le Ministère public aurait dû disposer, en application de l’art. 194 al. 2 CPP, d’un rapport du Service de la protection de la jeunesse du 24 septembre 2018, afin de</w:t>
      </w:r>
    </w:p>
    <w:p>
      <w:r>
        <w:t>- 9 - procéder à une pondération objective des intérêts en présence. Il invoque que la Cour de céans devrait également pouvoir disposer de ce rapport, pour les mêmes motifs. Ce rapport attesterait que ses enfants n’ont pas été traumatisés par son interpellation, et que le maintien de l’autorité parentale conjointe, respectivement de la garde partagée devrait se poursuivre, dans leur intérêt. Il fait enfin valoir que la décision attaquée serait inopportune au sens de l’art. 393 al. 2 lit. c CPP, dans la mesure où la Procureure n’aurait apparemment procédé à aucune pesée des intérêts en présence. Or, selon lui, la procédure pénale, relevant de sa sphère intime, pourrait être employée à son encontre dans le cadre de la procédure civile, alors même qu’il devrait pouvoir bénéficier de la présomption d’innocence. Sa consultation serait donc susceptible de lui causer un préjudice irréparable alors que les faits qui lui sont reprochés pénalement, non avérés, n’auraient aucun lien avec ses capacités éducatives, qui devraient seules entrer en considération.</w:t>
      </w:r>
    </w:p>
    <w:p>
      <w:r>
        <w:rPr>
          <w:b/>
        </w:rPr>
        <w:t>E. 2.3</w:t>
      </w:r>
    </w:p>
    <w:p>
      <w:r>
        <w:t>En l’espèce, comme le prévoit la jurisprudence, le juge civil devra examiner si la garde alternée en vigueur est possible et compatible avec le bien des enfants concernés, qui constitue la règle fondamentale en matière d'attribution des droits parentaux, les intérêts des parents devant être relégués au second plan. La possibilité concrète d'instaurer une garde alternée et sa compatibilité avec le bien des enfants du recourant étant dépendantes des circonstances du cas d'espèce, il n’appartient pas à la direction de la procédure ni à la présente autorité de recours de se substituer au juge civil, donc de requérir toutes pièces nécessaires à celui- ci pour statuer, mais seulement d’examiner si, d’une part, le juge civil peut avoir besoin pour statuer des pièces dont la production a été requise et, d’autre part, de faire une pesée des intérêts entre l'intérêt privé du recourant à la protection de sa personnalité et au maintien du secret de l'instruction, et l'intérêt public à la conduite de la procédure civile, respectivement l’intérêt privé des enfants à ce que le juge civil examine la question de la garde alternée en connaissance des éléments ressortant des deux pièces litigieuses. Au vu des nombreux éléments ayant trait à la situation des parents que le juge civil doit prendre en compte pour statuer sur la question de la garde alternée, rappelés plus haut (cf. supra, consid.</w:t>
      </w:r>
    </w:p>
    <w:p>
      <w:r>
        <w:t>- 10 - 2.1.3), il faut considérer que les pièces dont la production est requise sont susceptibles de lui être utiles pour traiter la procédure de mesures protectrices dont il est saisi. La première condition posée par l’art. 101 al. 2 CPP est donc remplie. En outre, s’il est vrai que la consultation de ces deux pièces par le juge civil, puis par les parties à la procédure de mesures protectrices, est de nature à porter atteinte à la sphère privée du recourant et que les faits qui lui sont reprochés par la plaignante ne concernent pas directement ses enfants, l’intérêt du recourant doit en l’occurrence céder le pas par rapport à l’intérêt – supérieur – de ses enfants à ce que le juge civil statue en possession de tous les éléments relatifs à la vie de leurs parents et prenne ainsi la décision la plus apte à favoriser et à garantir leur bien, qui est le critère prépondérant. En outre, les deux pièces en cause, soit l’audition-plainte de la plaignante et l’audition du prévenu, présentent les versions de chacune des parties à la procédure pénale, ce qui est de nature à garantir le droit d’être entendu de l’intéressé. Quant au principe de la présomption d’innocence, il est ancré à l’art. 10 CPP et son respect s’impose également au juge civil, qui a conscience qu’aucun jugement n’est pour l’heure entré en force s’agissant des faits qui font l’objet de la présente procédure pénale. La seconde condition posée par l’art. 101 al. 2 CPP est donc également remplie. En conclusion, le rapport du Service de la protection de la jeunesse du 24 septembre 2018 – dont il n’est pas allégué ni établi qu’il tiendrait compte des éléments découlant de la procédure pénale – n’est pas nécessaire pour statuer sur le recours (art. 389 CPP), ni ne saurait se substituer aux pièces dont la production est requise. Au surplus, la décision attaquée ne consacre aucune inopportunité, ni a fortiori de violation des art. 101 al. 2 et 102 al. 2 CPP. 3. Au vu de ce qui précède, le recours, manifestement mal fondé, doit être rejeté sans échange d’écritures (art. 390 al. 2 CPP) et</w:t>
      </w:r>
    </w:p>
    <w:p>
      <w:r>
        <w:t>- 11 - l'ordonnance du 18 octobre 2018 confirmée. Les frais de la procédure de recours, constitués en l’espèce de l’émolument d'arrêt, par 1'100 fr. (art. 20 al. 1 TFIP [tarif des frais de procédure et indemnités en matière pénale; RSV 312.03.1]), et des frais imputables à la défense d’office (art. 422 al. 1 et 2 let. a CPP), fixés à 540 fr., plus la TVA par 41 fr. 60, soit à 581 fr. 60 au total, seront mis à la charge du recourant, qui succombe (art. 428 al. 1 CPP). Le remboursement à l’Etat de Vaud de l’indemnité allouée au défenseur d’office du recourant ne sera exigible que lorsque la situation financière de ce dernier le permettra (art. 135 al. 4 CPP). Par ces motifs, la Chambre des recours pénale prononce : I. Le recours est rejeté. II. L’ordonnance du 18 octobre 2018 est confirmée. III. L’indemnité allouée au défenseur d’office de A.J.________ est fixée à 581 fr. 60 (cinq cent huitante et un francs et soixante centimes). IV. Les frais d’arrêt, par 1'100 fr. (mille cent francs), ainsi que l’indemnité due au défenseur d’office de A.J.________, par 581 fr. 60 (cinq cent huitante et un francs et soixante centimes), sont mis à la charge de ce dernier. V. Le remboursement à l'Etat de l'indemnité allouée au chiffre III ci-dessus ne sera exigible que pour autant que la situation financière de A.J.________ le permette.</w:t>
      </w:r>
    </w:p>
    <w:p>
      <w:r>
        <w:t>- 12 - VI. L’arrêt est exécutoire. Le président : Le greffier : Du Le présent arrêt, dont la rédaction a été approuvée à huis clos, est notifié, par l'envoi d'une copie complète, à : - Me Georges Reymond, avocat (pour A.J.________), - Me Sarah El-Abshihy, avocate (pour la partie plaignante), - Ministère public central, et communiqué à : - Mme la Procureure de l’arrondissement de Lausanne, - Mme la Présidente du Tribunal civil de l’arrondissement de l’Est vaudois,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octobre 2015 consid. 4). Le bien de l'enfant constitue en effet la règle fondamentale en matière d'attribution des droits parentaux (ATF 142 III 617 consid. 3.2.3;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w:t>
      </w:r>
    </w:p>
    <w:p>
      <w:r>
        <w:t>- 7 - l'instauration d'un tel mode de garde, puisque celles-ci ne prennent pas en considération tous les paramètres qui entrent en ligne de compte dans la pratique (cf.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ATF 142 III 617 consid. 3.2.3; TF 5A_46/2015 du 26 mai 2015 consid. 4.4.2 et 4.4.5; TF 5A_345/2014 du 4 août 2014 consid. 4.2). Il faut également prendre en considération le souhait de l'enfant s'agissant de sa</w:t>
      </w:r>
    </w:p>
    <w:p>
      <w:r>
        <w:t>- 8 - propre prise en charge, quand bien même il ne disposerait pas de la capacité de discernement à cet égard. Sur ce point, il appartiendra au juge du fait, qui établit les faits d'office (art. 296 al. 1 CPC [Code de procédure civile du 19 décembre 2008; RS 272] et art. 314 al. 1 CPC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