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PE18.016579 vom 20. Oktober 2022</w:t>
      </w:r>
    </w:p>
    <w:p>
      <w:r>
        <w:t>VD Tribunal cantonal, 2022-10-20, FR</w:t>
      </w:r>
    </w:p>
    <w:p>
      <w:r>
        <w:rPr>
          <w:b/>
        </w:rPr>
        <w:t xml:space="preserve">Quelle: </w:t>
      </w:r>
      <w:r>
        <w:t>https://mcp.opencaselaw.ch/entscheid/vd_gerichte_PE18.016579</w:t>
      </w:r>
    </w:p>
    <w:p>
      <w:r>
        <w:t>FR: VD_GERICHTE PE18.016579 du 20 octobre 2022</w:t>
      </w:r>
    </w:p>
    <w:p>
      <w:r>
        <w:t>IT: VD_GERICHTE PE18.016579 del 20 ottobre 2022</w:t>
      </w:r>
    </w:p>
    <w:p>
      <w:pPr>
        <w:pStyle w:val="Heading2"/>
      </w:pPr>
      <w:r>
        <w:t>Erwägungen</w:t>
      </w:r>
    </w:p>
    <w:p>
      <w:r>
        <w:rPr>
          <w:b/>
        </w:rPr>
        <w:t>E. 1</w:t>
      </w:r>
    </w:p>
    <w:p>
      <w:r>
        <w:t>S.________, ressortissant du Brésil, au bénéfice d'un permis d'établissement, est né le [...] 1993 dans ce pays. Elevé dans un premier temps par ses grands-parents, il a rejoint sa mère en Suisse en 2001, à l'âge de sept ans. Il a déclaré avoir rompu en l'état tout contact avec sa mère et son beau-père. Il a effectué sa scolarité à Payerne, avant de débuter un apprentissage de chauffeur poids lourds, qu'il n'a pas achevé.</w:t>
      </w:r>
    </w:p>
    <w:p>
      <w:r>
        <w:t>- 4 - Il est au bénéfice des permis de chauffeur et de grutier. Il a travaillé comme chauffeur et comme courtier en assurance. Depuis janvier 2021, il travaille à temps plein comme grutier pour le compte de la société [...] Sàrl, pour un salaire mensuel brut de 5'800 fr., versé treize fois l'an. Actuellement, il est en incapacité de travail ensuite d'un accident de travail et perçoit 80 % de son salaire. Il vit avec sa compagne dans un appartement de deux pièces à Lausanne, dont le loyer s'élève à 1'260 francs. Sa prime d'assurance-maladie est de 298 fr. et il s'acquitte d'environ 8'000 fr. d'impôts par année. Au 2 mai 2022, il faisait l'objet de 12'483 fr. 60 de poursuites. A ce sujet, il a déclaré que les poursuites en question avaient été radiées ensuite d'arrangements de paiement. Le casier judiciaire de S.________ mentionne les inscriptions suivantes : - 25.02.2013, Ministère public de l'arrondissement du Nord vaudois, conduite d'un véhicule défectueux, circulation sans assurance- responsabilité civile et usage abusif de permis et/ou de plaques de contrôle, peine pécuniaire de 30 jours-amende à 50 fr., sursis à l'exécution de la peine, durée d'épreuve de 3 ans, amende de 500 fr., sursis prolongé d'un an le 10 mars 2015 ; - 10.03.2015, Juge de police de la Broye, lésions corporelles graves par négligence, peine pécuniaire de 360 jours-amende à 30 fr., sursis partiel à l'exécution de la peine portant sur 180 jours, délai d'épreuve de 5 ans ;</w:t>
      </w:r>
    </w:p>
    <w:p>
      <w:r>
        <w:rPr>
          <w:b/>
        </w:rPr>
        <w:t>E. 1.1</w:t>
      </w:r>
    </w:p>
    <w:p>
      <w:r>
        <w:t>Interjeté dans les formes et délais légaux (art. 399 CPP [Code de procédure pénale suisse du 5 octobre 2007 ; RS 312.0]), par une partie qui a qualité pour recourir (art. 382 al. 1 CPP), contre le jugement d’un tribunal de première instance ayant clos la procédure (art. 398 al. 1 CPP), l’appel de S.________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t>- 6 -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w:t>
      </w:r>
    </w:p>
    <w:p>
      <w:r>
        <w:rPr>
          <w:b/>
        </w:rPr>
        <w:t>E. 2.1</w:t>
      </w:r>
    </w:p>
    <w:p>
      <w:r>
        <w:t>Dans le canton de Vaud, entre les 6 février et 5 avril 2018, ensuite d'un incendie qui s'était déclaré le 6 février 2018 au domicile de sa mère, sis [...] à Payerne, S.________ a complété un inventaire destiné à l'Etablissement d'assurance contre l'incendie et les éléments naturels du Canton de Vaud (ci-après : ECA), en déclarant plusieurs objets faussement incendiés, dont deux costumes, afin de percevoir indûment le montant correspondant au remplacement desdits objets. Ce montant n'a toutefois pas été versé au prévenu.</w:t>
      </w:r>
    </w:p>
    <w:p>
      <w:r>
        <w:t>- 5 -</w:t>
      </w:r>
    </w:p>
    <w:p>
      <w:r>
        <w:rPr>
          <w:b/>
        </w:rPr>
        <w:t>E. 2.2</w:t>
      </w:r>
    </w:p>
    <w:p>
      <w:r>
        <w:t>A La Tour-de-Peilz, [...], entre les 7 et 13 avril 2018, S.________ a commandé plusieurs articles sur les sites internet des boutiques en ligne Zalando et SmilePen, pour un montant total de 1'284 fr. 60, en usurpant l'identité de G.________, son ancien colocataire. Il ne s'est ainsi jamais acquitté du montant des factures relatives auxdits articles. G.________ a déposé plainte et s'est constitué partie civile le 6 juin 2018. Le 25 septembre 2022, il a déclaré qu'il renonçait à faire valoir des prétentions civiles.</w:t>
      </w:r>
    </w:p>
    <w:p>
      <w:r>
        <w:rPr>
          <w:b/>
        </w:rPr>
        <w:t>E. 2.3</w:t>
      </w:r>
    </w:p>
    <w:p>
      <w:r>
        <w:t>A Vevey, [...], entre les 10 juin 2019 et 30 avril 2020, S.________ a commandé plusieurs articles sur le site internet de la boutique en ligne Bodysport, pour un montant total de 329 fr., en usurpant l'identité de K.________, lequel l'avait hébergé. Il ne s'est ainsi jamais acquitté du montant des factures relatives auxdits articles. K.________ a déposé plainte et s'est constitué partie civile le 30 avril 2020. Il n'a pas fait valoir de prétentions civiles. En d roit : 1.</w:t>
      </w:r>
    </w:p>
    <w:p>
      <w:r>
        <w:rPr>
          <w:b/>
        </w:rPr>
        <w:t>E. 3.1</w:t>
      </w:r>
    </w:p>
    <w:p>
      <w:r>
        <w:t>L'appelant conteste s'être rendu coupable de tentative d'escroquerie. Il invoque une appréciation arbitraire des preuves. Il soutient que ce serait à tort que le premier juge n'a pas retenu une « erreur de transcription » à sa décharge. Il expose que, dans le cadre de l'enquête dirigée contre sa mère, le Ministère public central a admis que, si les deux costumes avaient été annoncés à tort, cela pouvait être le résultat d'une « erreur de transcription » lors de l'établissement de la liste d'objets fondant la demande d'indemnisation, soit les deux costumes litigieux, et qu'aucune intention délictueuse ne pouvait être établie. Il fait valoir que cette « erreur de transcription » aurait aussi dû lui profiter, dès lors que qu'il n'aurait fait que retranscrire le brouillon rédigé par sa mère. Le jugement attaqué retiendrait d'ailleurs que l'appelant aurait ajouté les deux costumes sur demande de sa mère et de son beau-père.</w:t>
      </w:r>
    </w:p>
    <w:p>
      <w:r>
        <w:rPr>
          <w:b/>
        </w:rPr>
        <w:t>E. 3.2</w:t>
      </w:r>
    </w:p>
    <w:p>
      <w:r>
        <w:t>- 7 -</w:t>
      </w:r>
    </w:p>
    <w:p>
      <w:r>
        <w:rPr>
          <w:b/>
        </w:rPr>
        <w:t>E. 3.2.1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t>- 8 -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w:t>
      </w:r>
    </w:p>
    <w:p>
      <w:r>
        <w:rPr>
          <w:b/>
        </w:rPr>
        <w:t>E. 3.2.2</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3.2.3</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3.3</w:t>
      </w:r>
    </w:p>
    <w:p>
      <w:r>
        <w:t>En l'espèce, la version présentée par l'appelant exclut la thèse de l'erreur de transcription qui a profité à sa mère. Celui-ci a en effet déclaré qu'il avait réécrit au propre la liste manuscrite de sa mère de tout</w:t>
      </w:r>
    </w:p>
    <w:p>
      <w:r>
        <w:t>- 9 - ce qui avait été brûlé et qu'il avait ajouté à cette liste deux costumes de marque Hugo Boss d'une valeur de 2'000 fr., qui lui appartenaient et qui n'avaient pas brûlé dans l'incendie, afin que sa mère et son beau-père perçoivent une plus grande indemnisation (cf. jgmt, p. 3). Dans ces circonstances, le premier juge n'a fait que traduire en droit les faits exposés par l'appelant, qui admet avoir voulu tromper l'ECA dans le but, ici, d'enrichir autrui. Cela n'a pas fonctionné, dès lors que l'ECA a fait preuve de vigilance. Il s'agit donc bel et bien d'une tentative d'escroquerie. On ne discerne aucune violation du droit. Le grief de l'appelant doit donc être rejeté.</w:t>
      </w:r>
    </w:p>
    <w:p>
      <w:r>
        <w:rPr>
          <w:b/>
        </w:rPr>
        <w:t>E. 4.1</w:t>
      </w:r>
    </w:p>
    <w:p>
      <w:r>
        <w:t>L'appelant soutient qu’il devrait être libéré de l’infraction d’utilisation frauduleuse d’un ordinateur.</w:t>
      </w:r>
    </w:p>
    <w:p>
      <w:r>
        <w:rPr>
          <w:b/>
        </w:rPr>
        <w:t>E. 4.2.1</w:t>
      </w:r>
    </w:p>
    <w:p>
      <w:r>
        <w:t>Quant aux principes découlant de la présomption d’innocence, il est renvoyé au considérant 3.2.1 ci-dessus.</w:t>
      </w:r>
    </w:p>
    <w:p>
      <w:r>
        <w:rPr>
          <w:b/>
        </w:rPr>
        <w:t>E. 4.2.2</w:t>
      </w:r>
    </w:p>
    <w:p>
      <w:r>
        <w:t>Aux termes de l’art. 147 al. 1 CP, se rend coupable d’utilisation frauduleuse d’un ordinateur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L'infraction d'utilisation frauduleuse d'un ordinateur, qui est une infraction dirigée contre le patrimoine, suppose, sur le plan objectif, une utilisation incorrecte, incomplète ou indue des données, une influence de cette utilisation sur le processus électronique ou similaire de traitement ou de transmission de données, l'obtention d'un résultat inexact, le fait</w:t>
      </w:r>
    </w:p>
    <w:p>
      <w:r>
        <w:t>- 10 - que la manipulation aboutisse à un transfert d'actifs ou à sa dissimulation, un dommage patrimonial et un rapport de causalité entre tous ces éléments (ATF 129 IV 22 consid. 4.1 et réf. cit.). Sur le plan subjectif, cette infraction implique que l'auteur ait agi intentionnellement et dans un dessein d'enrichissement illégitime. Il est nécessaire que l’auteur ait agi sans droit et qu'il ait su qu'il agissait sans droit (ATF 129 IV 22 consid. 4.1 ; TF 6B_61/2015 du 14 mars 2016 consid. 5.1). Au sens de l’art. 147 CP, les données sont les informations qui sont traitées, mémorisées et transmises au moyen d’un ordinateur ; la donnée contient, d’une part, une information et, d’autre part, une composante technique, savoir une information convertie en langage technique (Grodecki, in : Jeanneret/Kuhn/Perrier Depeursinge [éd.], Commen­taire romand, Code de procédure pénale suisse [CR CPP], 2e éd., Bâle 2019, n. 5 ad art. 147 CP). Il y a utilisation incorrecte lorsque l’auteur introduit un faux numéro de code ou de compte, respectivement lorsqu’il fausse le programme par une manipulation ; il en va de même lors de l’utilisation d’une fausse carte dans un système électronique de vérification. Il y a utilisation incomplète lorsque l’auteur omet des précisions nécessaires à l’utilisation correcte des données ; une simple omission d’une opération est ainsi suffisante. Il y a utilisation indue si l’auteur utilise des données correctes pour s’introduire dans le système, mais qu’il n’est pas autorisé à le faire ; par exemple, l’auteur usurpe le code d’accès d’autrui (Grodecki, op. cit., nn. 7-9 ad art. 147 CP ; Corboz, Les infractions en droit suisse, vol. I, Berne 2010, nn. 4-6 ad art. 147 CP). L’utilisation incorrecte, incomplète ou indue des données (ou un procédé analogue) doit avoir pour effet d’influencer le processus électronique ou similaire de traitement ou de transmission des données. Le résultat obtenu ne doit ainsi pas correspondre à celui qui serait survenu si le processus s’était déroulé normalement (Grodecki, op. cit., n. 11 ad art. 147 CP ; Corboz, op. cit., n. 8 ad art. 147 CP). L'infraction réprimée par l'art. 147 CP s'apparente à l'escroquerie (art. 146 CP), dont elle se distingue toutefois en cela que l'auteur ne trompe pas un être humain pour le déterminer ainsi à des</w:t>
      </w:r>
    </w:p>
    <w:p>
      <w:r>
        <w:t>- 11 -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(Grodecki, op. cit., n. 1 et n. 6 ad art. 147 CP ; Corboz, op. cit., nn. 2 et 3 ad art. 147 CP ; ATF 129 IV 22 consid. 4.2 et réf. cit.).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d'"escroquerie informatique", revêt ainsi un caractère subsidiaire par rapport à l'escroquerie; si la manipulation d'une machine ne suffit pas pour obtenir le résultat, mais qu'il faut encore qu'une personne soit trompée, l'escroquerie prime l'utilisation frauduleuse d'un ordinateur (Grodecki, op. cit., n. 23 ad art. 147 CP ; Corboz, op. cit., nn. 2 et 19 ; ATF 129 IV 22 consid. 4.2 et réf. cit.).</w:t>
      </w:r>
    </w:p>
    <w:p>
      <w:r>
        <w:rPr>
          <w:b/>
        </w:rPr>
        <w:t>E. 4.3.1</w:t>
      </w:r>
    </w:p>
    <w:p>
      <w:r>
        <w:t>S’agissant des faits relatés ci-dessus, dans la partie « En fait », sous chiffre 2.2, l’appelant soutient qu’il aurait demandé l’autorisation à G.________ d’utiliser son compte et que ce dernier l’aurait expressément autorisé. Il n’aurait pas créé une fausse identité rendant impossible d’identifier la personne. Enfin, selon l’appelant, il ne serait pas prouvé que la décision d’acceptation de la commande aurait été prise de manière automatisée par l’ordinateur. Ce serait donc à tort que le Tribunal de police l’aurait reconnu coupable d’utilisation frauduleuse d’un ordinateur.</w:t>
      </w:r>
    </w:p>
    <w:p>
      <w:r>
        <w:rPr>
          <w:b/>
        </w:rPr>
        <w:t>E. 4.3.2</w:t>
      </w:r>
    </w:p>
    <w:p>
      <w:r>
        <w:t>En l’espèce, l’explication de l’appelant selon laquelle il avait l’aval de G.________ pour passer commande ne convainc pas. Le prénommé a en effet indiqué que les commandes litigieuses avaient été passées à son insu. En outre, même à supposer qu’un locataire accepte que la personne qu’il loge pendant un mois passe une commande en mentionnant son adresse, on ne saurait en aucun cas retenir qu’il accepte de surcroît d’être le débiteur des biens qu’il ne commande pas. Cette</w:t>
      </w:r>
    </w:p>
    <w:p>
      <w:r>
        <w:t>- 12 - version n’a en effet aucun sens. Or, sur les deux factures émises par Zalando G.________ figure tant comme destinataire de la livraison que de la facturation. Il en va de même de la facture établie au nom de SmilePen. Enfin, comme le relève le premier juge, l’appelant est coutumier de ce genre d’infractions, puisqu’il a utilisé le même procédé, consistant à passer des commandes au nom de tiers, dans le cadre des faits relatés ci- dessus, dans la partie « En fait », sous chiffre 2.3, admis sur le principe (cf. infra). Ce faisant, l’appelant, parfaitement conscient qu’il agissait sans droit dans le seul but de s’enrichir de manière illégitime, a utilisé des données de manière indue, en indiquant faussement G.________ comme destinataire de la livraison et de la facturation des commandes litigieuses, trompant ainsi un ordinateur – et non une personne physique – en vue d’obtenir un avantage patrimonial. Les conditions objectives et subjectives de l’infraction de l’art. 147 al. 1 CP sont ainsi réalisées.</w:t>
      </w:r>
    </w:p>
    <w:p>
      <w:r>
        <w:rPr>
          <w:b/>
        </w:rPr>
        <w:t>E. 4.4.1</w:t>
      </w:r>
    </w:p>
    <w:p>
      <w:r>
        <w:t>S’agissant faits relatés ci-dessus, dans la partie « En fait », sous chiffre 2.3, l’appelant soutient que le premier juge aurait arbitrairement considéré que le montant du dommage subi par K.________ était supérieur à 300 fr., le montant objet de la plainte pénale étant de 153 fr. 63. Partant, l’appelant ne pourrait être condamné que pour une infraction d’importance mineure, poursuivie sur plainte uniquement. Or, le dépôt de celle-ci étant intervenu après l’échéance du délai de trois mois prévu par l’art. 31 CP, la plainte devrait être considéré comme tardive. En conséquence, l’appelant devrait être libéré du chef d’accusation d’utilisation frauduleuse d’un ordinateur.</w:t>
      </w:r>
    </w:p>
    <w:p>
      <w:r>
        <w:rPr>
          <w:b/>
        </w:rPr>
        <w:t>E. 4.4.2</w:t>
      </w:r>
    </w:p>
    <w:p>
      <w:r>
        <w:t>En l’espèce, rien ne permet de mettre en doute le raisonnement opéré par le premier juge pour retenir que l’activité coupable de l’appelant, s’agissant des commandes indues effectuées au nom de K.________, porte sur un total de 329 fr. 20. D’abord, les pièces au dossier indiquent bel et bien un tel total de 329 fr. 20, selon le détail repris du jugement. Il ressort en effet du dossier que quatre commandes ont été</w:t>
      </w:r>
    </w:p>
    <w:p>
      <w:r>
        <w:t>- 13 - effectuées : une commande du 3 juin 2019 à 2h59 dont le total est de 0 fr, compte tenu d'une commande de 393 fr. 50 et d'une « réduction » du même montant, une commande de 173 fr. 60 le 10 juin 2019 à 1h50, une commande de 114 fr. 90 le 10 juin 2019 à 23h14 et une commande de 40 fr. 70 le 2 juillet 2019 à 21h03. A l’instar du premier juge, il y a lieu de retenir que, si K.________ n'a mentionné dans sa plainte que le montant de 153 fr. 63, c'est qu'il s'est en réalité lui-même acquitté de la facture de 173 fr .60 en mains de la société Bodysport le 6 septembre 2019 (P 68, annexe), et que la facture de 40 fr. 70 a vraisemblablement été acquittée. Ensuite, on ne peut que constater que les déclarations de l’appelant ont varié au sujet des commandes établies au nom de K.________, ce qui lui ôte toute crédibilité. En effet, lors de son audition du 9 juillet 2020, l’appelant a déclaré se souvenir de la commande de 114 fr. 90 du 10 juin 2019 et qu’il avait souvent commandé du matériel sur le site bodysport.ch (PV aud. 20, p. 5). Il a indiqué avoir effectué d'autres commandes au nom de K.________ sur le site bodysport.ch. Il utilisait sa propre adresse électronique. Il avait commandé un pot de protéines, des gants et des gélules d'omega 3. L’appelant a ensuite déclaré avoir effectué une seule commande, avant de préciser qu'il avait fait plusieurs commandes, mais une seule au nom de K.________ (PV aud. 20, p. 6). Il a reconnu avoir effectué la commande à hauteur de 40 fr. 70 le 2 juillet 2019 (PV aud. 20, p. 7). Réentendu le 11 janvier 2021, l’appelant a admis avoir effectué une commande au nom de K.________ le 10 juin 2019 (PV aud. 21, p. 2). Aux débats de première instance, il a uniquement admis avoir effectué la commande de 40 fr. 70 du 2 juillet 2019, contestant avoir effectué les autres commandes. Ainsi, comme l’a relevé le premier juge, l’appelant a passablement changé de version au fil de ses interrogatoires, déclarant d'abord avoir souvent commandé du matériel sur le site bodysport.ch et avoir effectué plusieurs commandes au nom de K.________, reconnaissant par la suite une commande effectuée le 10 juin 2019 puis contestant celle- ci aux débats. A cela s’ajoute que l'intégralité des commandes passées l'ont été au moyen de l'adresse électronique diagnemomo@hotmail.com appartenant à K.________ et cela sur une période d'un mois seulement, du 3 juin 2019 au 2 juillet 2019, toujours durant la nuit. En outre, l’appelant a indiqué aux débats qu'il faisait de la musculation et que K.________ n'en</w:t>
      </w:r>
    </w:p>
    <w:p>
      <w:r>
        <w:t>- 14 - faisait pas à l'époque. Or, comme l’a souligné le premier juge, toutes les commandes concernent du matériel de sport et des compléments alimentaires pour les amateurs de musculation. Par conséquent, la cour de céans partage la conviction du premier juge selon laquelle les commandes litigieuses portent sur un montant total de 329 fr. 20, soit un montant supérieur à 300 fr., ce qui ne permet pas de retenir une infraction d’importance mineure (art. 172ter CP). Partant, la poursuite a lieu d’office et l’argument tiré de la prescription du droit de porter plainte tombe à faux.</w:t>
      </w:r>
    </w:p>
    <w:p>
      <w:r>
        <w:rPr>
          <w:b/>
        </w:rPr>
        <w:t>E. 4.5</w:t>
      </w:r>
    </w:p>
    <w:p>
      <w:r>
        <w:t>Au vu de l’ensemble des considérations qui précèdent, la condamnation de l’appelant pour utilisation frauduleuse d’un ordinateur doit être confirmée.</w:t>
      </w:r>
    </w:p>
    <w:p>
      <w:r>
        <w:rPr>
          <w:b/>
        </w:rPr>
        <w:t>E. 5</w:t>
      </w:r>
    </w:p>
    <w:p>
      <w:r>
        <w:t>Vérifiée d'office, la peine pécuniaire – non contestée – de 90 jours-amende, soit 40 jours-amende pour sanctionner la tentative d’escroquerie, 30 jours-amende pour sanctionner l’infraction d’utilisation frauduleuse pour le cas 2.2 et 20 jours-amende pour sanctionner l’infraction d’utilisation frauduleuse pour le cas 2.3, est adéquate. Elle répond aux exigences de l’art. 47 CP et à la jurisprudence y relative (ATF 141 IV 61 consid. 6.1.1). La Cour de céans fait donc sienne la motivation complète et convaincante du premier juge telle qu’exposée dans le jugement entrepris (art. 82 al. 4 CPP ; jugement, p. 16). Il y a donc lieu de la confirmer et de renvoyer aux considérants du jugement, qui sont pertinents. S’agissant de la valeur du jour-amende, le montant de 40 fr. retenu par le premier juge correspond à la situation personnelle et financière de l’appelant et s’avère donc conforme aux exigences de l’art. 34 al. 2 CP. En outre, l’appelant remplit les conditions d’octroi du sursis, dont la durée doit être arrêtée, pour les motifs pertinents retenu par le premier juge, à cinq ans. Enfin, vu le sursis assortissant la peine principale, une amende à titre de sanction immédiate doit être prononcée. Le montant de 700 fr., retenu par le premier juge, ne prête pas le flanc à la critique. Il en va de même de la peine privative de liberté de substitution en cas de non-paiement fautif de l’amende arrêtée à 7 jours.</w:t>
      </w:r>
    </w:p>
    <w:p>
      <w:r>
        <w:t>- 15 -</w:t>
      </w:r>
    </w:p>
    <w:p>
      <w:r>
        <w:rPr>
          <w:b/>
        </w:rPr>
        <w:t>E. 6</w:t>
      </w:r>
    </w:p>
    <w:p>
      <w:r>
        <w:t>La condamnation de l’appelant ayant été confirmée, il convient de rejeter sa conclusion tendant à sa libération de l’intégralité des frais de première instance.</w:t>
      </w:r>
    </w:p>
    <w:p>
      <w:r>
        <w:rPr>
          <w:b/>
        </w:rPr>
        <w:t>E. 7</w:t>
      </w:r>
    </w:p>
    <w:p>
      <w:r>
        <w:t>En définitive, l’appel doit être rejeté et le jugement attaqué confirmé. Me Xavier de Haller, défenseur d’office de S.________, a produit une liste des opérations faisant état d’un total de 11h36 d’activité. Cette durée est trop élevée. Les opérations allant du 24 octobre au 18 novembre 2022, totalisant 2h06, sont des opérations post-audience de première instance, qui sont déjà comprises dans l’indemnité qui a été allouée à l’avocat pour la procédure de première instance. L’opération du 26 novembre 2022 intitulée « Traitement courriel client, examen des arguments avancés en lien avec les circonstances de l’établissement de la liste ECA et des commandes sur internet, courriel au client », pour laquelle l’avocat a consacré 18 minutes, ne sera pas retenue, dès lors qu’elle se confond avec l’étude du dossier en première instance. L’opération du 8 décembre 2022 intitulée « Recherches sur décisions contradictoires et arbitraire », pour laquelle l’avocat a consacré 36 minutes, ne sera pas non plus retenue, ces thèmes étant déjà largement connus de l’avocat. Enfin, il n’y a pas lieu de tenir compte de l’opération du 8 décembre 2022 intitulée « Examen JP sur art. 29 et 30 CPP », pour laquelle l’avocat a consacré 24 minutes, ces dispositions concernant la jonction et la disjonction de procédures pénales et n’étant par conséquent d’aucune utilité pour la présente procédure. C’est ainsi un total de 3h06 qui doit être déduit, l’indemnité de Me Xavier de Haller devant ainsi être fixée à 1'680 fr. 75, correspondant à 8h30 d’activité au tarif horaire de 180 fr., 2% de débours forfaitaires, par 30 fr. 60, et 120 fr. 15 de TVA sur le tout, au taux de 7,7%. Vu l’issue de la cause, les frais de la procédure d'appel, par 3'330 fr. 75, constitués de l'émolument du présent jugement, par 1'650 fr.</w:t>
      </w:r>
    </w:p>
    <w:p>
      <w:r>
        <w:t>- 16 - (art. 21 al. 1 TFIP [Tarif des frais de procédure et indemnités en matière pénale du 28 septembre 2010 ; BLV 312.03.1]), ainsi que de l’indemnité allouée à son défenseur d’office, par 1'680 fr. 75, seront mis à la charge de S.________, qui succombe (art. 428 al. 1 CPP). L’appelant ne sera toutefois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