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PE18.015299 vom 14. Oktober 2019</w:t>
      </w:r>
    </w:p>
    <w:p>
      <w:r>
        <w:t>VD Tribunal cantonal, 2019-10-14, FR</w:t>
      </w:r>
    </w:p>
    <w:p>
      <w:r>
        <w:rPr>
          <w:b/>
        </w:rPr>
        <w:t xml:space="preserve">Quelle: </w:t>
      </w:r>
      <w:r>
        <w:t>https://mcp.opencaselaw.ch/entscheid/vd_gerichte_PE18.015299</w:t>
      </w:r>
    </w:p>
    <w:p>
      <w:r>
        <w:t>FR: VD_GERICHTE PE18.015299 du 14 octobre 2019</w:t>
      </w:r>
    </w:p>
    <w:p>
      <w:r>
        <w:t>IT: VD_GERICHTE PE18.015299 del 14 ottobre 2019</w:t>
      </w:r>
    </w:p>
    <w:p>
      <w:pPr>
        <w:pStyle w:val="Heading2"/>
      </w:pPr>
      <w:r>
        <w:t>Erwägungen</w:t>
      </w:r>
    </w:p>
    <w:p>
      <w:r>
        <w:rPr>
          <w:b/>
        </w:rPr>
        <w:t>E. 11</w:t>
      </w:r>
    </w:p>
    <w:p>
      <w:r>
        <w:t>mars 2019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 Conformément à l’art. 319 al. 1 let. d CPP, la procédure doit également être classée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ce qui est notamment le</w:t>
      </w:r>
    </w:p>
    <w:p>
      <w:r>
        <w:t>- 7 - cas lorsque l’action pénale est prescrite (Moreillon/Parein-Reymond, Petit Commentaire du Code de procédure pénale, 2e éd., Bâle 2016, nn. 16 s ad art. 319 CPP). 3. 3.1 Dans un grief d’ordre formel, invoquant une violation de son droit d’être entendue, P.________ reproche au Procureur d’avoir insuffisamment motivé sa décision en se bornant à affirmer que la preuve libératoire serait rapportée dans la mesure où son époux aurait fait des aveux partiels, alors que ceux-ci ne la concerneraient en rien. Elle fait par ailleurs grief au Ministère public de n’avoir tout simplement pas traité sa plainte dans l’ordonnance entreprise. 3.2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3.3 En l’espèce, s’il faut admettre que l’ordonnance entreprise contient une motivation succincte – surtout en ce qui concerne la recourante –, on comprend néanmoins, outre le fait que les infractions de diffamation et de calomnie sont prescrites, que le Ministère public</w:t>
      </w:r>
    </w:p>
    <w:p>
      <w:r>
        <w:t>- 8 - considère que les faits dénoncés dans la lettre anonyme paraissent bien fondés, ce qui légitime à son sens l’atteinte à l’honneur des deux époux et justifie le classement de la procédure. Conformément à la jurisprudence précitée, l’ordonnance attaquée répond ainsi aux exigences minimales de motivation commandées par la loi, de sorte qu’on ne discerne aucune violation du droit d’être entendue de la recourante, celle-ci ayant au demeurant été en mesure d’attaquer l’ordonnance litigieuse en connaissance de cause en contestant le raisonnement du Ministère public devant l’autorité de céans (cf. consid. 4.1.1 infra). Partant, ce moyen doit être rejeté. 4. 4.1 4.1.1 Se plaignant d’une constatation incomplète et erronée des faits, P.________ reproche au Procureur d’avoir considéré que les faits dénoncés dans la lettre anonyme paraissaient bien fondés. Elle fait valoir à cet égard que la preuve libératoire ne pourrait pas être apportée par l’autorité elle-même, mais uniquement par le prévenu, ce qui n’aurait pas été fait en l’espèce. Elle soutient au demeurant que cette preuve n’existerait de toute manière pas à son égard, arguant que si le prévenu avait des doutes concernant son frère, il ne pouvait pas s’en prendre à elle. Invoquant une violation de l’art. 319 CPP et du principe in dubio pro duriore, elle soutient que le Ministère public disposait de suffisamment d’éléments accablants pour poursuivre le prévenu. Enfin, la recourante se plaint de « graves erreurs et violations de procédure ». Elle se contente de soutenir à cet égard, de manière générale, que les preuves sollicitées n’auraient pas été instruites et que celles qui auraient été acceptées l’auraient été après des retards importants. Elle fait également grief au Ministère public de n’avoir cessé de lui « mettre des bâtons dans les roues » en admettant avec difficulté la validité formelle de sa plainte, en refusant de rendre une ordonnance de condamnation à l’encontre du dénonciateur, en refusant des offres de preuves et en attendant le mois de juillet 2019 pour finalement classer le dossier. Elle reproche en outre au</w:t>
      </w:r>
    </w:p>
    <w:p>
      <w:r>
        <w:t>- 9 - Procureur d’avoir décidé « sans aucune explication » de laisser les frais à la charge de l’Etat. 4.1.2 Quant à A.L.________, dans un recours mélangeant la présente procédure et la procédure principale (PE15.[...]), il se plaint tout d’abord de ne pas avoir été assisté par un avocat lors de ses deux premières auditions dans le cadre de la procédure principale et du rejet par le Ministère public de ses réquisitions de preuves, ainsi que d’un déni de justice, tout en reconnaissant que ses recours sur ces points ont été rejetés par la Chambre des recours pénale. Il soutient que, dans la mesure où il serait établi que son frère serait bien l’auteur de la lettre anonyme, le Ministère public aurait fait preuve de mauvaise volonté à instruire les plaintes et aurait même rejeté sa requête d’assistance judiciaire gratuite. Il y aurait ainsi un abus de droit de la part de cette autorité, qui aurait fait traîner la procédure pour attendre la prescription de l’action pénale et qui se serait abstenue d’évoquer la possible application de l’art. 178 CP, ce qui lui aurait alors permis d’invoquer non seulement son intérêt juridique privé, mais également « les intérêts de la justice ». S’agissant de la prescription, le recourant fait valoir qu’elle ne serait pas réalisée pour l’infraction de dénonciation calomnieuse et soutient que celle-ci devrait être envisagée alors même que les plaignants ne l’auraient pas invoquée devant le Procureur. Enfin, le recourant soutient que la preuve de la vérité ne serait pas rapportée et reproche au Ministère public de se contenter d’alléguer que celle-ci serait établie dans le cadre du dossier principal. Selon le recourant, il incomberait au Ministère public de suspendre la présente procédure jusqu’à droit connu dans le cadre de la procédure principale ou alors d’instruire véritablement cette question. Finalement, s’agissant de l’infraction de diffamation, il fait valoir qu’il appartiendrait au prévenu, et non à l’autorité, d’apporter la preuve libératoire et relève que celui-ci n’aurait pas agi malgré l’invitation du Ministère public à procéder en ce sens, de sorte que cette question ne devrait pas être examinée par le Procureur et qu’aucun moyen libératoire ne pourrait disculper le prévenu à ce stade. En dernier lieu, le recourant, estimant que le prévenu se serait rendu coupable de dénonciation calomnieuse, infraction qui ne</w:t>
      </w:r>
    </w:p>
    <w:p>
      <w:r>
        <w:t>- 10 - serait pas prescrite, requiert à la fois d’attendre l’issue de la procédure principale et de continuer l’instruction de la présente cause. 4.2 4.2.1 4.2.1.1 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 2017 consid. 3.1 ; TF 6B_119/2017 du 12 décembre 2017 consid. 3.1). Conformément à l’art. 178 al. 1 CP, l’action pénale se prescrit par quatre ans pour les délits contre l’honneur, au lieu de sept ans pour les autres infractions punies d’une peine maximale inférieure à trois ans</w:t>
      </w:r>
    </w:p>
    <w:p>
      <w:r>
        <w:t>- 11 - de privation de liberté (art. 97 al. 1 let. d CP). La raison de la réduction du délai usuel est que les atteintes à l’honneur disparaissent en général rapidement et ne laissent souvent pas de séquelles (Dupuis et al., [éd.], Petit Commentaire du Code pénal, 2e éd., Bâle 2017, n. 1 ad art. 178 CP et les références citées). Le délai de prescription court dès la commission de l’infraction (par exemple dès le dépôt de l’écrit diffamatoire à la poste ou chez son destinataire : ATF 97 IV 153 consid. 2, JdT 1973 IV 18), et non pas dès la connaissance de l’auteur tel que cela est le cas pour le dépôt de la plainte (Dupuis et al., op. cit., n. 2 ad art. 178 CP et les références citées). 4.2.1.2 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Niggli/Wiprächtiger [éd.], Basler Kommentar, Strafrecht II, 4e éd., Bâle 2019, n. 17 ad art. 303 CP). La dénonciation doit être transmise à une autorité compétente ; il n’est pas nécessaire qu’elle soit compétente pour la poursuite de l’infraction ; il suffit qu’il soit de son devoir de transmettre la dénonciation à l’autorité qui l’est ou, si ce n’est pas le cas, qu’elle la transmette effectivement (Dupuis et al., op. cit., n. 12 ad art. 303 CP et les auteurs cités). La dénonciation doit faire porter l’accusation sur une personne qui est innocente ; la personne visée n’est donc pas coupable de l’infraction dont on l’accuse, soit parce que cette dernière n’a jamais été commise, soit parce qu’elle l’a été par un tiers (Dupuis et al., op. cit., n. 18 ad art. 303 CP et les</w:t>
      </w:r>
    </w:p>
    <w:p>
      <w:r>
        <w:t>- 12 - références citées). Est considéré comme innocent notamment celui qui a été libéré par jugement d’acquittement ou par le prononcé d’un non-lieu (ATF 136 IV 170 consid. 2.1 ; Dupuis et al., op. cit., n. 21 ad art. 303 CP et les références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 Sur le plan subjectif, l’auteur doit savoir que la personne visée par la dénonciation est innocente, comme c'est le cas pour la calomnie. Le dol éventuel est exclu (Dupuis et al., op. cit., nn. 22-23 ad art. 303 CP ; ATF 136 IV 170 précité consid. 2.1 ; TF 6B_32/2011 du 24 février 2011 consid. 1.1). Bien que les biens juridiquement protégés soient distincts, l’art. 303 CP englobe l’art. 174 CP. En effet, l’art. 303 CP vise à protéger autant l’honneur des particuliers qu’une saine administration de la justice (ATF 115 IV 1 consid. 2b, JdT 1990 IV 109 ; ATF 80 IV 56, JdT 1954 IV 111 ; ATF 69 IV 114, JdT 1943 IV 116 ; Dupuis et al., op. cit., n. 19 ad art. 174 CP et les références citées et n. 31 ad art. 303 CP). La calomnie (art. 174 CP) doit dès lors céder le pas devant l'infraction de dénonciation calomnieuse (art. 303 ch. 1 CP), parce que la première infraction est déjà entièrement comprise dans la seconde, qui protège ainsi l'honneur privé, en plus de l'administration de la justice (ATF 141 IV 444 consid. 3.2 ; ATF 115 IV 1 précité et les références citées) ; ainsi, un concours entre les art. 303 ch. 1 et 174 CP est logiquement exclu, à moins que l'auteur ne s'adresse simultanément à un tiers non membre de l'autorité (ATF 141 IV 444 précité ; Corboz, op. cit., n. 22 ad art. 303 CP). Aux termes de l’art. 97 al. 1 let. b CP, l’action pénale se prescrit par quinze ans si la peine maximale encourue est une peine privative de liberté de plus de trois ans, notamment en cas de dénonciation calomnieuse au sens de l’art. 303 ch. 1 CP.</w:t>
      </w:r>
    </w:p>
    <w:p>
      <w:r>
        <w:t>- 13 - 4.2.2 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1B_238/2018 du 5 septembre 2018 consid. 2.1 ; TF 1B_406/2017 du 23 janvier 2018 consid. 2 ; TF 1B_421/2012 du 19 juin 2013 consid. 2.3 ; Cornu, in: Kuhn/Jeanneret [éd.], Commentaire romand, Code de procédure pénale suisse, Bâle 2011, n. 13 ad art. 314 CPP). 4.3 Force est de constater que seule l’infraction de dénonciation calomnieuse au sens de l’art. 303 ch. 1 al. 1 CP est envisageable dans le cas d’espèce, puisque, d’une part, celle-ci englobe l’infraction de calomnie et que, d’autre part, les éventuels délits contre l’honneur reprochés au prévenu sont prescrits. A cet égard, les éléments du dossier (en particulier les deux rapports d’investigation de la Police de sûreté tirés du dossier de la procédure principale, P. 6 et P. 7) auxquels se réfère le Ministère public comportent des appréciations provisoires et, contrairement à ce que soutient le Procureur, il se révèle nécessaire de connaître le dénouement de la procédure engagée contre les recourants avant de pouvoir déterminer si la lettre anonyme a été rédigée de bonne foi ou non s’agissant du recourant, d’une part, et de la recourante, d’autre part. Le classement de la présente procédure apparaît donc prématuré à ce stade. Au vu de ce qui précède, l’issue de la présente procédure étant intrinsèquement liée au résultat de la procédure principale ouverte à l’encontre des recourants (PE15.[...]), le Ministère public ne pouvait pas à ce stade rendre une ordonnance de classement, mais devait suspendre la présente cause jusqu’à droit connu dans la procédure principale, conformément à l’art. 314 al. 1 let. b CPP.</w:t>
      </w:r>
    </w:p>
    <w:p>
      <w:r>
        <w:t>- 14 - Pour ce motif, les recours doivent être admis. 5. En définitive, les recours doivent être admis et l’ordonnance de classement du 24 juillet 2019 annulée. Le dossier de la cause sera renvoyé au Ministère public de l’arrondissement du Nord vaudois pour qu’il procède dans le sens des considérants. Enfin, le dossier de la cause étant renvoyé au Ministère public jusqu’à droit connu dans la procédure principale, il incombera au Procureur, afin de respecter le droit d’être entendu des recourants, de permettre à ceux-ci de consulter les dossiers PE15.[...] et PE18.[...], auxquels ils sont parties. 6. Vu l’issue de la cause, les frais de la procédure de recours, constitués en l’espèce du seul émolument d'arrêt, par 1’540 fr. (art. 20 al. 1 TFIP [Tarif des frais de procédure et indemnités en matière pénale du 28 septembre 2010 ; BLV 312.03.1]), seront mis par moitié, soit par 770 fr., à la charge de l’intimé qui succombe dans la mesure où il a conclu au rejet du recours formé par A.L.________ (art. 428 al. 1 CPP), le solde étant laissé à la charge de l’Etat (art. 428 al. 4 CPP). Les recourants, qui ont procédé avec l’assistance de conseils de choix et qui ont obtenu gain de cause, ont chacun droit à une juste indemnité pour les dépenses occasionnées par l’exercice raisonnable de leurs droits pour la procédure de recours. Au vu des mémoires produits, chaque indemnité sera fixée à 900 fr., correspondant à trois heures d’activité d’avocat au tarif horaire de 300 fr., montant auquel s’ajoutent des débours forfaitaires à concurrence de 2 % (art. 19 al. 2 TDC [Tarif des dépens en matière civile du 23 novembre 2010 ; BLV 270.11.6], applicable par renvoi de l’art. 26a al. 6 TFIP), par 18 fr., ainsi que la TVA, par 70 fr. 70, de sorte que chaque indemnité s'élève au total à 988 fr. 70. L’indemnité allouée à A.L.________ sera mise à la charge de l’intimé, qui succombe dès lors qu’il a conclu au rejet du recours déposé par celui-ci (TF 6B_265/2016 du 1er juin 2016 consid. 2.3 et 2.4 in limine). Quant à</w:t>
      </w:r>
    </w:p>
    <w:p>
      <w:r>
        <w:t>- 15 - l’indemnité allouée à P.________, elle sera laissée à la charge de l’Etat, dès lors que l’intimé ne s’est pas déterminé sur le recours formé par celle-ci. La requête de P.________ tendant à l’octroi de l’assistance judiciaire est irrecevable s’agissant de la procédure de première instance, la recourante n’ayant pas préalablement présenté une demande en ce sens auprès du Ministère public. S’agissant de la procédure de recours, vu l’issue de la cause, la requête tendant à l’octroi de l’assistance judiciaire gratuite est sans objet, dans la mesure où les frais ne sont pas mis à sa charge et où l’indemnité qui lui est allouée au titre de l’art. 433 CPP couvre les frais d’intervention de son conseil. Par ces motifs, la Chambre des recours pénale prononce : I. Les recours sont admis. II. L’ordonnance du 24 juillet 2019 est annulée. III. Le dossier est renvoyé au Ministère public de l’arrondissement du Nord vaudois pour qu’il procède dans le sens des considérants. IV. La requête d’assistance judiciaire de P.________ est sans objet dans la mesure où elle est recevable. V. Les frais d’arrêt, par 1’540 fr. (mille cinq cent quarante francs), sont mis par moitié, soit par 770 fr. (sept cent septante francs) à la charge de B.L.________, le solde étant laissé à la charge de l’Etat. VI. Une indemnité de 988 fr. 70 (neuf cent huitante-huit francs et septante centimes) est allouée à P.________ pour les dépenses occasionnées par la procédure de recours, à la charge de l’Etat.</w:t>
      </w:r>
    </w:p>
    <w:p>
      <w:r>
        <w:t>- 16 - VII. Une indemnité de 988 fr. 70 (neuf cent huitante-huit francs et septante centimes) est allouée à A.L.________ pour les dépenses occasionnées par la procédure de recours, à la charge de B.L.________. VIII. L’arrêt est exécutoire. Le président : La greffière : Du Le présent arrêt, dont la rédaction a été approuvée à huis clos, est notifié, par l'envoi d'une copie complète, à : - Me Philippe Zumsteg, avocat (pour P.________), - Me Christian Zumsteg, avocat (pour A.L.________), - Me Paul-Arthur Treyvaud, avocat (pour B.L.________), - Ministère public central, et communiqué à : - M. le Procureur de l’arrondissement du Nord vaudois, - Service de la population, par l’envoi de photocopies. Le présent arrêt peut faire l'objet d'un recours en matière pénale devant le Tribunal fédéral au sens des art. 78 ss LTF (Loi du 17 juin</w:t>
      </w:r>
    </w:p>
    <w:p>
      <w:r>
        <w:t>- 17 - 2005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