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PE18.015166 vom 3. Dezember 2019</w:t>
      </w:r>
    </w:p>
    <w:p>
      <w:r>
        <w:t>VD Tribunal cantonal, 2019-12-03, FR</w:t>
      </w:r>
    </w:p>
    <w:p>
      <w:r>
        <w:rPr>
          <w:b/>
        </w:rPr>
        <w:t xml:space="preserve">Quelle: </w:t>
      </w:r>
      <w:r>
        <w:t>https://mcp.opencaselaw.ch/entscheid/vd_gerichte_PE18.015166</w:t>
      </w:r>
    </w:p>
    <w:p>
      <w:r>
        <w:t>FR: VD_GERICHTE PE18.015166 du 3 décembre 2019</w:t>
      </w:r>
    </w:p>
    <w:p>
      <w:r>
        <w:t>IT: VD_GERICHTE PE18.015166 del 3 dicembre 2019</w:t>
      </w:r>
    </w:p>
    <w:p>
      <w:pPr>
        <w:pStyle w:val="Heading2"/>
      </w:pPr>
      <w:r>
        <w:t>Erwägungen</w:t>
      </w:r>
    </w:p>
    <w:p>
      <w:r>
        <w:rPr>
          <w:b/>
        </w:rPr>
        <w:t>E. 6</w:t>
      </w:r>
    </w:p>
    <w:p>
      <w:r>
        <w:t>L’appelant conteste sa condamnation pour les menaces qualifiées qu’il aurait proférées le 29 août 2018, soit d’avoir, selon le premier juge, menacé I.________ d’aller dire à ses collègues qu’elle l’avait jetée hors de chez lui, qu’elle allait souffrir devant les tribunaux et qu’il la mettrait à genoux, puis l’aurait suivie en scooter (jgt, p. 29). Il considère en particulier que le tribunal se serait fondé sur de simples suppositions et hypothèses et qu’il n’existerait pas d’élément tangible démontrant l’existence des menaces.</w:t>
      </w:r>
    </w:p>
    <w:p>
      <w:r>
        <w:t>- 22 -</w:t>
      </w:r>
    </w:p>
    <w:p>
      <w:r>
        <w:rPr>
          <w:b/>
        </w:rPr>
        <w:t>E. 6.1</w:t>
      </w:r>
    </w:p>
    <w:p>
      <w:r>
        <w:t>Les principes régissant l’infraction de menaces qualifiées ont été rappelés ci-dessus (cf. consid. 4.1 ci-dessus).</w:t>
      </w:r>
    </w:p>
    <w:p>
      <w:r>
        <w:rPr>
          <w:b/>
        </w:rPr>
        <w:t>E. 6.2</w:t>
      </w:r>
    </w:p>
    <w:p>
      <w:r>
        <w:t>En l’espèce, on relève tout d’abord que les menaces retenues par le premier juge ne ressortent pas clairement de l’acte d’accusation. Celui-ci retient en effet à cet égard uniquement ce qui suit : « le 29 août 2018, (…), avoir tenu devant plusieurs tiers des propos désobligeants et menaçants à l’égard [...], l’avoir ensuite suivie en scooter jusqu’à son domicile (…) » ; « le même jour, avoir menacé [...] ». Or, une telle description des faits n’est pas suffisamment précise et ne permet pas de déterminer quelles menaces auraient concrètement été proférées par l’appelant à l’encontre de la plaignante. Ainsi, la maxime d’accusation n’est en l’occurrence pas respectée (cf. art. 9 et 325 CPP), de sorte que l’appelant doit être libéré de ces faits. Au surplus, les propos retenus par le tribunal ne sont pas suffisamment caractérisés par constituer des menaces au sens de l’art. 180 CP. Le fait de menacer d’aller dire aux collègues de la plaignante qu’elle avait jeté son mari dehors et qu’il allait la traîner devant les tribunaux pour la mettre à genoux ne saurait avoir alarmé ou effrayé cette dernière, ce d’autant plus qu’une procédure matrimoniale opposant les parties était déjà en cours au moment des faits. L’appel de G.________ doit donc être admis sur ce point.</w:t>
      </w:r>
    </w:p>
    <w:p>
      <w:r>
        <w:rPr>
          <w:b/>
        </w:rPr>
        <w:t>E. 7</w:t>
      </w:r>
    </w:p>
    <w:p>
      <w:r>
        <w:t>L’appelant conteste sa condamnation pour utilisation abusive d’une installation de télécommunication pour les faits qui se sont déroulés le 29 août 2018 (cf. consid. C.2.3 ci-dessus). Il invoque à nouveau l’absence d’élément tangible et estime que le tribunal, qui s’est en particulier basé sur les déclarations de la plaignante, ne se serait fondé que sur de simples suppositions ou hypothèses.</w:t>
      </w:r>
    </w:p>
    <w:p>
      <w:r>
        <w:rPr>
          <w:b/>
        </w:rPr>
        <w:t>E. 7.1</w:t>
      </w:r>
    </w:p>
    <w:p>
      <w:r>
        <w:t>Selon l’art. 179septies CP, celui qui, par méchanceté ou par espièglerie, aura utilisé abusivement une installation de</w:t>
      </w:r>
    </w:p>
    <w:p>
      <w:r>
        <w:t>- 23 - télécommunication pour inquiéter un tiers ou pour l’importuner sera, sur plainte, puni d’une amende.</w:t>
      </w:r>
    </w:p>
    <w:p>
      <w:r>
        <w:rPr>
          <w:b/>
        </w:rPr>
        <w:t>E. 7.2</w:t>
      </w:r>
    </w:p>
    <w:p>
      <w:r>
        <w:t>En l’espèce, comme on l’a vu, les déclarations d’I.________ sont sensiblement plus crédibles que celles de l’appelant. En outre, les premiers juges ne se sont pas uniquement fondés sur celles-ci pour retenir que les échanges téléphoniques concernés, à tout le moins les sept derniers appels, étaient destinés à tenter de convaincre la plaignante d’indiquer au Service de protection de la jeunesse (ci-après : le SPJ) que tout allait bien, afin d’éviter l’intervention de celui-ci (jgt, p. 31). Il s’est en effet aussi basé sur les propres déclarations de G.________, qui a dit, aux débats de première instance, qu’il n’allait pas accepter que ce service mette ses enfants dans un foyer (jgt, p. 10), et, dans son courrier du 18 octobre 2018, qu’il avait contacté sa belle-sœur ainsi qu’une amie pour qu’elles convainquent son épouse de l’entendre au sujet du SPJ (P. 10). Or, quoi qu’en dise l’intéressé, au vu de la teneur des messages insistants concernés (cf. jgt, pp. 29-30), de tels éléments permettent sans aucun doute de considérer qu’à tout le moins les sept derniers appels téléphoniques à la plaignante, adressés en parallèle avec les appels passés à sa sœur et les messages qu’il lui envoyait, étaient destinés à l’importuner et à la pousser à bout dans le cadre de leur litige matrimonial. Au surplus, vu les relations extrêmement tendues entre les parties, l’argument de l’appelant selon lequel il aurait appelé son épouse parce qu’il se souciait que celle-ci puisse trouver une place de parc n’a aucune consistance. Partant, la condamnation de G.________ pour utilisation abusive d’une installation de télécommunication doit être confirmée.</w:t>
      </w:r>
    </w:p>
    <w:p>
      <w:r>
        <w:rPr>
          <w:b/>
        </w:rPr>
        <w:t>E. 8</w:t>
      </w:r>
    </w:p>
    <w:p>
      <w:r>
        <w:t>L’appelant conteste sa condamnation pour voies de fait pour les évènements du 31 août 2018 (cf. consid. C.2.4 ci-dessus). Il relève qu’aucune trace de violence n’a été constatée sur I.________. Il soutient en outre qu’il n’a jamais avoué avoir poussé son épouse et que, de toute manière, dans un contexte de dispute conjugale, le fait de pousser une personne n’excèderait pas ce qui est socialement acceptable.</w:t>
      </w:r>
    </w:p>
    <w:p>
      <w:r>
        <w:t>- 24 -</w:t>
      </w:r>
    </w:p>
    <w:p>
      <w:r>
        <w:rPr>
          <w:b/>
        </w:rPr>
        <w:t>E. 8.1</w:t>
      </w:r>
    </w:p>
    <w:p>
      <w:r>
        <w:t>En vertu de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 ATF 119 IV 25 consid. 2a). La gifle, les coups de poing ou de pied ou les fortes bourrades avec les mains ou les coudes constituent des exemples types de voies de fait (Dupuis et al. [éd.], op. cit., nn. 4 et 5 ad art. 126 CP). La question de savoir si l’atteinte dépasse ce qui est socialement toléré, et parvient en ce sens au seuil des voies de fait, s’apprécie au regard des circonstances propres à chaque cas d’espèce (ATF 117 IV 14 consid. 2a ; Dupuis et al. [éd.], op. cit., n. 6 ad art. 126 CP). L’infraction est de nature intentionnelle, le dol éventuel étant toutefois suffisant (Dupuis et al. [éd.], op. cit., n. 8 ad art. 126 CP).</w:t>
      </w:r>
    </w:p>
    <w:p>
      <w:r>
        <w:rPr>
          <w:b/>
        </w:rPr>
        <w:t>E. 8.2</w:t>
      </w:r>
    </w:p>
    <w:p>
      <w:r>
        <w:t>En l’espèce, le premier juge a retenu que l’appelant avait poussé son épouse, alors que cette dernière souhaitait rentrer chez elle avec son fils [...] (jgt, p. 32). Quoi qu’en dise l’intéressé, devant l’autorité de première instance, il a admis avoir repoussé sa femme de sa main et l’avoir fait en lui demandant d’arrêter d’agripper leur fils (jgt, p. 12). Dans ces circonstances, c’est à juste titre que le tribunal a retenu que tel avait été le cas. Pour le reste, l’appréciation du premier juge sur ce point est convaincante et il convient d’y renvoyer conformément à l’art. 82 al. 4 CPP (jgt, p. 32). Par ailleurs, contrairement à ce que soutient G.________, le comportement consistant à pousser ou repousser son épouse, qui souhaite légitimement rentrer chez elle avec fils, excède ce qui est socialement toléré, même dans le cadre d’une dispute conjugale. Enfin, dans la mesure où il s’agit en l’occurrence de simples voies de fait, il n’est pas déterminant qu’aucune trace ou lésion n’ait été constatée sur la victime.</w:t>
      </w:r>
    </w:p>
    <w:p>
      <w:r>
        <w:t>- 25 - En définitive, la condamnation de l’appelant pour voies de fait doit être confirmée.</w:t>
      </w:r>
    </w:p>
    <w:p>
      <w:r>
        <w:rPr>
          <w:b/>
        </w:rPr>
        <w:t>E. 9</w:t>
      </w:r>
    </w:p>
    <w:p>
      <w:r>
        <w:t>L’appelant, qui a conclu à son acquittement, n’a pas contesté la peine en tant que telle. S’agissant de la fixation de la peine (art. 47 CP), le premier juge a en substance relevé que les agissements de G.________ étaient détestables et que quand bien même ils s’inscrivaient dans le cadre d’un vif et délétère conflit conjugal, son seul but était de nuire à son épouse, parce qu’il était persuadé que ses droits avaient été bafoués, sans toutefois se remettre en question un seul instant. L’appelant avait agi à la limite du stalking durant plusieurs mois, dans une logique destructrice et mû par un désir de porter préjudice à I.________ pour obtenir ce qui lui était selon lui dû. Il avait en outre commis plusieurs infractions contre cette dernière dans le cadre d’un court laps de temps. A décharge, le tribunal a néanmoins tenu compte du lourd conflit conjugal et du fait que le prévenu souffrait de ne plus voir ses fils aussi souvent que lors de la vie commune. Ces éléments de culpabilité sont pertinents et doivent être confirmés. Le premier juge a condamné G.________ à une peine pécuniaire de 60 jours-amende pour les deux cas de menaces qualifiées et la violation de domicile. Afin de tenir compte de la libération d’un chef d’accusation de menaces qualifiées (faits du 29 août 2018), il y a lieu de réduire la peine pécuniaire à 50 jours-amende. L’infraction la plus grave est celle de menaces qualifiées (faits de mars 2018). Elle doit être réprimée par une sanction de 30 jours-amende, laquelle doit être augmentée, en raison du principe de l’aggravation (art. 49 al. 1 CP), par 20 jours-amende pour tenir compte de l’infraction de violation de domicile. Le montant du jours-amende, fixé à 40 fr., tient compte de la situation financière de l’appelant et doit être confirmé. L’amende de 500 fr. prononcée par le tribunal afin de sanctionner les contraventions aux art. 126 al. 1 et 179septies CP</w:t>
      </w:r>
    </w:p>
    <w:p>
      <w:r>
        <w:t>- 26 - correspond aux fautes commises par l’appelant et doit également être confirmée, de même que la peine privative de liberté de substitution de 8 jours.</w:t>
      </w:r>
    </w:p>
    <w:p>
      <w:r>
        <w:rPr>
          <w:b/>
        </w:rPr>
        <w:t>E. 10</w:t>
      </w:r>
    </w:p>
    <w:p>
      <w:r>
        <w:t>L’appelant, qui a subordonné ses moyens à l’admission de ses précédents griefs, a requis sa libération des frais de première instance, l’octroi d’une indemnité au sens de l’art. 429 al. 1 let. a CPP, sa libération du versement d’une indemnité au sens de l’art. 433 CPP à son épouse et sa libération du versement d’une indemnité pour tort moral à cette dernière. Malgré la libération du cas de menaces qualifiées du 29 août 2018, il n’y a pas lieu de réduire les frais de première instance. Lors des faits en question, l’appelant a en effet adopté un comportement civilement répréhensible à l’égard de son épouse, en ayant importuné celle-ci en tenant devant plusieurs tiers à tout le moins des propos désobligeants à l’égard de cette dernière (art. 426 al. 2 CPP). En outre, les menaces qui lui étaient reprochées prenaient place dans le même complexe de faits que celui lui ayant valu sa condamnation pour utilisation abusive d’une installation de télécommunication. Pour les mêmes motifs, il n’y a ni matière à l’indemniser selon l’art. 429 al. 1 let. a CPP (art. 430 al. 1 let. a CPP), ni matière à réduire l’indemnité au sens de l’art. 433 CPP allouée par le premier juge à la plaignante. Enfin, malgré l’abandon du chef de prévention précité, l’allocation d’une indemnité pour tort moral de 500 fr. (art. 49 CO) allouée à I.________, d’un montant modeste, reste justifiée au vu de l’ensemble des pressions auxquelles G.________ a soumis cette dernière par son comportement.</w:t>
      </w:r>
    </w:p>
    <w:p>
      <w:r>
        <w:rPr>
          <w:b/>
        </w:rPr>
        <w:t>E. 11</w:t>
      </w:r>
    </w:p>
    <w:p>
      <w:r>
        <w:t>En conclusion, l’appel doit être partiellement admis et le jugement attaqué réformé dans le sens des considérants. Vu l’issue de la cause, les frais de la procédure d'appel, constitués de l'émolument de jugement, par 2’680 fr. (art. 21 al. 1 et 2</w:t>
      </w:r>
    </w:p>
    <w:p>
      <w:r>
        <w:t>- 27 - TFIP [Tarif des frais de procédure et indemnités en matière pénale du 28 septembre 2010 ; BLV 312.03.1]), seront mis pour deux tiers, soit par 1’786 fr. 65, à la charge G.________ qui succombe dans cette mesure sur ces conclusions et pour un tiers, soit par 893 fr. 35, à la charge d’I.________, qui succombe dans cette mesure dès lors qu’elle a conclu au rejet de l’appel (art. 428 al. 1 CPP). Obtenant gain de cause partiellement, G.________ a droit, de la part d’I.________ (art. 432 CPP), à une indemnité réduite de deux tiers pour les dépenses occasionnées par la procédure d’appel. Au vu de la liste d’opérations produite et de la complexité de l’affaire, l’indemnité complète aurait été fixée à 3’495 fr. (soit 11h39 de travail à un tarif horaire de 300 francs ; cf. art. 26a al. 3 TFIP), auxquels il convient d’ajouter des débours forfaitaires à concurrence de 2% (art. 19 al. 2 TDC, applicable par renvoi de l’art. 26a al. 6 TFIP), par 69 fr. 90, plus un montant correspondant à la TVA, par 274 fr. 50, soit à 3’839 fr. 40 au total. I.________ devra donc verser à l’appelant un montant de 1'279 fr. 80 pour la procédure d’appel. Obtenant gain de cause partiellement, I.________ a droit, de la part de G.________ (art. 433 CPP), à une indemnité réduite d’un tiers pour les dépenses occasionnées par la procédure d’appel. Au vu de la liste d’opérations produite et de la complexité de l’affaire, l’indemnité complète aurait été fixée à 1'977 fr. 35 fr. (soit 6 heures de travail à un tarif horaire de 300 francs ; cf. art. 26a al. 3 TFIP), auxquels il convient d’ajouter des débours forfaitaires à concurrence de 2% (art. 19 al. 2 TDC, applicable par renvoi de l’art. 26a al. 6 TFIP), par 36 fr., plus un montant correspondant à la TVA, par 141 fr. 35, soit à 1'977 fr. 35 au total. G.________ devra donc verser à la plaignante un montant de 1'318 fr. 25 pour la procédure d’appel.</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