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PE18.015088 vom 5. Februar 2019</w:t>
      </w:r>
    </w:p>
    <w:p>
      <w:r>
        <w:t>VD Tribunal cantonal, 2019-02-05, FR</w:t>
      </w:r>
    </w:p>
    <w:p>
      <w:r>
        <w:rPr>
          <w:b/>
        </w:rPr>
        <w:t xml:space="preserve">Quelle: </w:t>
      </w:r>
      <w:r>
        <w:t>https://mcp.opencaselaw.ch/entscheid/vd_gerichte_PE18.015088</w:t>
      </w:r>
    </w:p>
    <w:p>
      <w:r>
        <w:t>FR: VD_GERICHTE PE18.015088 du 5 février 2019</w:t>
      </w:r>
    </w:p>
    <w:p>
      <w:r>
        <w:t>IT: VD_GERICHTE PE18.015088 del 5 febbraio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par le plaignant qui a la qualité pour recourir (art. 382 CPP), le recours est recevable.</w:t>
      </w:r>
    </w:p>
    <w:p>
      <w:r>
        <w:rPr>
          <w:b/>
        </w:rPr>
        <w:t>E. 2</w:t>
      </w:r>
    </w:p>
    <w:p>
      <w:r>
        <w:t>Conformément à l'art. 310 al. 1 let. a CPP, le procureur rend immédiatement – c'est-à-dire sans qu'une instruction soit ouverte – une ordonnance de non-entrée en matière lorsqu'il apparaît, à réception de la dénonciation (cf. art. 301 s. CPP) ou de la plainte (Cornu, in :</w:t>
      </w:r>
    </w:p>
    <w:p>
      <w:r>
        <w:t>- 5 -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Aux termes de l’art. 177 CP (Code pénal suisse du 21 décembre 1937 ; RS 311.0), celui qui, de toute autre manière, aura, par la parole, l'écriture, l'image, le geste ou par des voies de fait, attaqué autrui dans son honneur sera, sur plainte, puni d'une peine pécuniaire de 90 jours-amende au plus (al. 1) ; le juge pourra exempter le délinquant de toute peine si l'injurié a directement provoqué l'injure par une conduite répréhensible (al. 2) ; si l'injurié a riposté immédiatement par une injure ou par des voies de fait, le juge pourra exempter de toute peine les deux délinquants ou l'un d'eux (al. 3).</w:t>
      </w:r>
    </w:p>
    <w:p>
      <w:r>
        <w:t>- 6 -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 ATF 117 IV 14 consid. 2a).</w:t>
      </w:r>
    </w:p>
    <w:p>
      <w:r>
        <w:rPr>
          <w:b/>
        </w:rPr>
        <w:t>E. 3.2</w:t>
      </w:r>
    </w:p>
    <w:p>
      <w:r>
        <w:t>A teneur de l’art. 8 al. 1 CPP, le ministère public et les tribunaux renoncent à toute poursuite pénale lorsque le droit fédéral le prévoit, notamment lorsque les conditions visées aux art. 52, 53 et 54 CP sont remplies. Selon l’art. 52 CP, si la culpabilité de l’auteur et les conséquences de son acte sont peu importantes, l’autorité compétente renonce à le poursuivre, à le renvoyer devant le juge ou à lui infliger une peine. Cette disposition s’applique également pour les contraventions au sens du Code pénal suisse ; la condition pour une exemption de peine en raison de l’absence d’intérêt à punir réside dans le fait que l’acte incriminé, en rapport avec la faute et les conséquences, pèse significativement moins lourd que le cas visuel et typique de l’infraction en cause (ATF 138 IV 13 consid. 9, JdT 2012 IV 263, spéc. p. 277; ATF 135 IV 130 consid. 5.3.3). L'importance de la culpabilité et celle du résultat dans le cas particulier doivent être évaluées par comparaison avec celle de la culpabilité et celle du résultat dans les cas typiques de faits punissables revêtant la même qualification En cas d'application de cette disposition, un classement doit intervenir (ATF 139 IV 220, JdT 2014 IV 94). L'art. 8 al. 1 et 2 CP implique une obligation pour le magistrat de renoncer à toute poursuite pénale (Moreillon/Parein-Reymond, Petit commentaire du CPP, Bâle 2016, n. 12 ad art. 8 CPP). Cette constatation peut toutefois également intervenir au stade de l'ordonnance de non-entrée en matière (Roth, in : Kuhn/Jeanneret [éd.], op. cit., n. 13 ad art. 8 CPP).</w:t>
      </w:r>
    </w:p>
    <w:p>
      <w:r>
        <w:t>- 7 -</w:t>
      </w:r>
    </w:p>
    <w:p>
      <w:r>
        <w:rPr>
          <w:b/>
        </w:rPr>
        <w:t>E. 3.3</w:t>
      </w:r>
    </w:p>
    <w:p>
      <w:r>
        <w:t>En l’espèce, il y a lieu de constater que les faits reprochés à X.________ par Y.________ ne sont pas définitivement fixés, dès lors que la procédure ouverte contre le recourant devra se poursuivre devant un tribunal au vu de l’opposition formée par celui-ci contre l’ordonnance pénale dont il a fait l’objet. Toutefois, dans le cadre de la présente procédure, il y a lieu de constater que lors de son audition du 2 août 2018 le recourant a admis une grande partie des faits qui lui ont été reprochés par Y.________, à laquelle il a présenté des excuses écrites par courrier du 9 août 2018, admettant en particulier que ses agissement ont été « disproportionnés et inadmissibles » (P. 12/1). Il a ensuite requis la tenue d’une audience de conciliation, mais la Procureure a renvoyé les parties à tenter une telle conciliation dans un contexte privé, aucune nouvelle audition n’étant prévue dans le cadre de la procédure pénale. Aucune tentative de conciliation n’a toutefois eu lieu et le recourant a finalement déposé plainte pénale contre Y.________ le dernier jour du délai légal. Au vu de ces éléments, le dépôt de la plainte apparaît principalement dicté par une volonté de revanche ou par l’intention de contrebalancer les charges pesant sur lui à des fins tactiques. S’agissant de l’exemption de peine évoquée par le Ministère public, il y a lieu de constater qu’elle l’a été à titre subsidiaire, soit pour le cas où il serait réellement établi que les blessures ont été causées lors de l’altercation du 31 juillet 2018. Or, on rappellera que les photographies produites à l’appui de la plainte pénale ont été prises par la police le 2 août 2018, soit après le deuxième épisode du complexe de faits qui s’est déroulé le 31 juillet 2018 d’une part, mais également le soir du 1er août 2018 d’autre part. Il n’est ainsi tout simplement pas possible de déterminer si les griffures et les ecchymoses présentées par le recourant résultent de la première altercation ou de la seconde. On ne voit en outre pas quelle mesure d’instruction permettrait d’élucider ce point de détail, étant précisé que la plainte ne porte que sur les faits du 31 juillet 2018. Par surabondance, même dans l’hypothèse où il aurait été éventuellement possible de faire la lumière sur ce point, il y a lieu de constater que les lésions invoquées, tout comme l’injure, seraient</w:t>
      </w:r>
    </w:p>
    <w:p>
      <w:r>
        <w:t>- 8 - survenues dans le cadre de l’altercation du 31 juillet 2018, lors de laquelle – selon ses propres déclarations (PV aud. 1, spéc. lignes 48 ss) – le recourant ne pouvait plus de se maîtriser, qu’il aurait menacé son ex- compagne avec un pistolet à billes, qu’il se serait emparé du téléphone portable de celle-ci et qu’il l’aurait mise à terre. Dans de telles circonstances, considérant la nature relativement légère des lésions et le comportement du recourant qu’il a lui-même qualifié d’inadmissible et de disproportionné, il n’est pas exclu qu’il puisse y avoir une absence d’intérêt à punir justifiant l’application des art. 52 CP et 8 CPP. On ne serait ainsi pas dans le cas de figure d’une exemption de peine au sens de l’art. 177 al. 2 CP – hypothèse qui semble effectivement ne pouvoir intervenir qu’après ouverture d’instruction – , mais dans celui d’une renonciation à poursuivre qui, elle, peut donner lieu à une non-entrée en matière. En définitive, les griefs du recourant apparaissent mal fondés et doivent être rejetés.</w:t>
      </w:r>
    </w:p>
    <w:p>
      <w:r>
        <w:rPr>
          <w:b/>
        </w:rPr>
        <w:t>E. 4</w:t>
      </w:r>
    </w:p>
    <w:p>
      <w:r>
        <w:t>Il résulte de ce qui précède que le recours, manifestement mal fondé, doit être rejeté sans échange d'écritures (art. 390 al. 2 CPP) et l’ordonnance de non-entrée en matière attaquée confirmée.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w:t>
      </w:r>
    </w:p>
    <w:p>
      <w:r>
        <w:t>- 9 - Par ces motifs, la Chambre des recours pénale prononce : I. Le recours est rejeté. II. L’ordonnance du 26 novembre 2018 est confirmée. III. Les frais d’arrêt, par 880 fr. (huit cent huitante francs), sont mis à la charge de X.________. IV. L’arrêt est exécutoire. Le président : La greffière : Du Le présent arrêt, dont la rédaction a été approuvée à huis clos, est notifié, par l'envoi d'une copie complète, à : - Me Gilles Davoine, avocat (pour X.________), - Me Sylvain Savolainen, avocat (pour Y.________), - Ministère public central, et communiqué à : - Mme la Procureure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