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PE18.014931 vom 26. Mai 2020</w:t>
      </w:r>
    </w:p>
    <w:p>
      <w:r>
        <w:t>VD Tribunal cantonal, 2020-05-26, FR</w:t>
      </w:r>
    </w:p>
    <w:p>
      <w:r>
        <w:rPr>
          <w:b/>
        </w:rPr>
        <w:t xml:space="preserve">Quelle: </w:t>
      </w:r>
      <w:r>
        <w:t>https://mcp.opencaselaw.ch/entscheid/vd_gerichte_PE18.014931</w:t>
      </w:r>
    </w:p>
    <w:p>
      <w:r>
        <w:t>FR: VD_GERICHTE PE18.014931 du 26 mai 2020</w:t>
      </w:r>
    </w:p>
    <w:p>
      <w:r>
        <w:t>IT: VD_GERICHTE PE18.014931 del 26 maggio 2020</w:t>
      </w:r>
    </w:p>
    <w:p>
      <w:pPr>
        <w:pStyle w:val="Heading2"/>
      </w:pPr>
      <w:r>
        <w:t>Erwägungen</w:t>
      </w:r>
    </w:p>
    <w:p>
      <w:r>
        <w:rPr>
          <w:b/>
        </w:rPr>
        <w:t>E. 3</w:t>
      </w:r>
    </w:p>
    <w:p>
      <w:r>
        <w:t>Le page de garde de l'acte de recours mentionne que A.X.________ et B.X.________ s'opposent à « l'ordonnance de classement du 28 octobre 2019 ». Toutefois, tant dans sa motivation que dans ses conclusions, le recours vise les deux ordonnances de classement du 28</w:t>
      </w:r>
    </w:p>
    <w:p>
      <w:r>
        <w:t>- 6 - octobre 2019, respectivement à faire condamner les deux prévenus pour lésions corporelles simples par négligence (uniquement).</w:t>
      </w:r>
    </w:p>
    <w:p>
      <w:r>
        <w:rPr>
          <w:b/>
        </w:rPr>
        <w:t>E. 4.1</w:t>
      </w:r>
    </w:p>
    <w:p>
      <w:r>
        <w:t>Les recourants considèrent que T.________ et U.________ ont fait preuve d'imprévoyance coupable, de sorte que tous les éléments constitutifs de l'infraction de lésions corporelles par négligence sont réalisés.</w:t>
      </w:r>
    </w:p>
    <w:p>
      <w:r>
        <w:rPr>
          <w:b/>
        </w:rPr>
        <w:t>E. 4.2.1</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w:t>
      </w:r>
    </w:p>
    <w:p>
      <w:r>
        <w:t>- 7 -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L'étendue du devoir de diligence doit s'apprécier en fonction de la situation personnelle de l'auteur, c'est-à-dire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 L'attention et la diligence requises sont d'autant plus élevées que le degré de spécialisation de l'auteur est important (TF 6B_466/2016 du 23 mars 2017 et les références citées).</w:t>
      </w:r>
    </w:p>
    <w:p>
      <w:r>
        <w:rPr>
          <w:b/>
        </w:rPr>
        <w:t>E. 4.2.2</w:t>
      </w:r>
    </w:p>
    <w:p>
      <w:r>
        <w:t>En vertu de l'art. 16 al. 2 LPolC (loi vaudoise sur la police des chiens du 31 octobre 2006 ; BLV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Selon l'art. 56 al. 1 CO (Code des obligations du 30 mars 1911 ; RS 220), en cas de dommage causé par un animal, la personne qui le détient est responsable, si elle ne prouve qu'elle l'a gardé et surveillé avec toute l'attention commandée par les circonstances ou que sa diligence n'eût pas empêché le dommage de se produire. Son recours</w:t>
      </w:r>
    </w:p>
    <w:p>
      <w:r>
        <w:t>- 8 - demeure réservé, si l'animal a été excité soit par un tiers, soit par un animal appartenant à autrui.</w:t>
      </w:r>
    </w:p>
    <w:p>
      <w:r>
        <w:rPr>
          <w:b/>
        </w:rPr>
        <w:t>E. 4.3</w:t>
      </w:r>
    </w:p>
    <w:p>
      <w:r>
        <w:t>En l'espèce, les lésions corporelles subies par les plaignants ensuite de l'attaque du chien R.________ ne sont pas contestées. La première condition posée par l'art. 125 al. 1 CP est par conséquent réalisée. Il reste à examiner si les prévenus ont agi par négligence coupable au sens de l'art. 12 al. 3 CP. Cela est le cas pour U.________ pour les motifs suivants : - elle a déclaré qu'elle mettait habituellement un collier à pointes à son chien lors des sorties pour le maîtriser, pointes à l'intérieur (PV aud. 4, lignes 92, 99-100 et 131), qu'elle attachait son chien lorsque son neveu, pourtant âgé de 17 ans, venait à la maison (PV aud. 3, R. 17), que les éleveurs français lui avaient chaudement recommandé de mettre un collier à pointes (P. 13, PV police des chiens) et qu'un formateur lui avait proposé de faire du mordant dans la manche pour canaliser l'énergie du chien (PV aud. 3, R. 12), ce qui démontre qu'elle savait que cet animal était dangereux ou agressif, peu important le fait qu'elle ne savait pas que le collier à pointes était interdit en Suisse ; - elle n'a pas jugé utile de dire à son frère quel collier et quelle laisse il fallait utiliser (PV aud. 4, lignes 91 ss), alors que c'était pourtant la première fois qu'il sortait le chien (PV aud. 4, lignes 60-61 et 89-90) et qu'elle avait quatre ou cinq laisses ou colliers à disposition, ainsi que beaucoup d'accessoires (PV aud. 4, lignes 100-101). A tout le moins n'a-t-elle pas spécifié à son frère qu'il ne fallait pas utiliser le collier en nylon ; - elle a démontré qu'elle se souciait peu de la sécurité d'autrui, puisqu'elle n'a pas vérifié si le vaccin antirabique du chien était à jour lorsqu'elle a importé l'animal de France ; - elle savait que R.________ était un chien de garde et de défense, puisqu'elle a admis qu'elle était allée pendant une année en</w:t>
      </w:r>
    </w:p>
    <w:p>
      <w:r>
        <w:t>- 9 - France suivre des cours de dressage dans le club de l'éleveur (PV aud. 3, R. 6). Cela est également le cas pour T.________ pour les motifs suivants : - il a déclaré que lorsque son fils, pourtant âgé de 17 ans, venait chez lui, le chien était enfermé dans la chambre (PV aud. 2, R. 6), ce qui démontre, à l'instar de sa sœur, qu'il savait que le chien était dangereux ou agressif ; - il savait aussi que R.________ était un chien de défense et de garde, puisqu'il vivait avec sa sœur depuis qu'elle avait acquis l'animal en novembre 2017 et qu'il a admis qu'il connaissait bien le chien (PV aud. 4, lignes 76 ss) ; - il n'a pas jugé utile de demander à sa sœur quel collier et quelle laisse il fallait mettre au chien, alors que c'était pourtant la première fois qu'il allait le promener ; - le collier, la laisse et la muselière étaient visiblement mal installés ou mal adaptés si le chien a pu s'en débarrasser. Vu ces éléments, on ne peut que constater que les prévenus n'ont pas fait en sorte d'être en mesure de maîtriser un chien dont ils connaissaient la nature agressive et dangereuse. Ils n'ont pas fait preuve de l'attention et de la diligence commandées par les circonstances et ont violé les règles de prudence dictées par l'ordre juridique. Il est en outre patent qu'il existe un lien de causalité naturelle et adéquate entre les comportements imputables aux prévenus et les lésions subies par les plaignants. Les prévenus paraissent ainsi s'être rendus coupables de lésions corporelles simples par négligence.</w:t>
      </w:r>
    </w:p>
    <w:p>
      <w:r>
        <w:rPr>
          <w:b/>
        </w:rPr>
        <w:t>E. 5</w:t>
      </w:r>
    </w:p>
    <w:p>
      <w:r>
        <w:t>Il résulte de ce qui précède que le recours doit être admis, les ordonnances entreprises annulées et le dossier de la cause renvoyé au Ministère public pour qu'il procède selon les art. 324 CPP (mise en accusation) ou 352 CPP (prononcé d'une ordonnance pénale). Il n'appartient en effet pas à la Cour de céans de prononcer des</w:t>
      </w:r>
    </w:p>
    <w:p>
      <w:r>
        <w:t>- 10 - condamnations ni de fixer une éventuelle indemnité à titre de réparation du tort moral. Les frais de la procédure de recours sont arrêtés à 1'100 fr. (art. 20 al. 1 TFIP [Tarif des frais de procédure et indemnités en matière pénale du 28 septembre 2010 ; BLV 312.03.1]). Me François Chanson, conseil juridique gratuit de A.X.________ et B.X.________, a droit à une indemnité pour la procédure de recours. Au vu du travail accompli, il sera retenu 4 h d'activité au tarif horaire de 180 fr. (art. 2 al. 1 let. a et 3 al. 2 RAJ [règlement sur l'assistance judiciaire en matière civile du 7 décembre 2010 ; BLV 211.02.3] par renvoi de l'art. 26b TFIP), soit 720 fr., plus 2 % pour les débours (art. 3bis al. 1 RAJ par renvoi de l'art. 26b TFIP), soit 14 fr. 40, de sorte que l'indemnité totale s'élève à 791 fr. en chiffres ronds, TVA par 7,7 % incluse. Les frais de la procédure de recours et l'indemnité allouée au conseil juridique gratuit seront laissés à la charge de l'Etat (art. 423 CPP). Par ces motifs, la Chambre des recours pénale prononce : I. Le recours est admis. II. Les deux ordonnances de classement du 28 octobre 2019 sont annulées. III. Le dossier de la cause est renvoyé au Ministère public de l'arrondissement du Nord vaudois pour qu'il procède dans le sens des considérants. IV. L'indemnité allouée à Me François Chanson, conseil juridique gratuit de A.X.________ et B.X.________, est fixée à 791 fr. (sept cent nonante et un francs). V. Les frais d'arrêt, par 1'100 fr. (mille cent francs), ainsi que l'indemnité allouée au conseil juridique gratuit de A.X.________</w:t>
      </w:r>
    </w:p>
    <w:p>
      <w:r>
        <w:t>- 11 - et B.X.________, par 791 fr. (sept cent nonante et un francs), sont laissés à la charge de l'Etat. VI. L’arrêt est exécutoire. Le président : La greffière : Du Le présent arrêt, dont la rédaction a été approuvée à huis clos, est notifié, par l'envoi d'une copie complète, à : - Me François Chanson, avocat (pour A.X.________ et B.X.________), - Mme U.________, - M. T.________,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w:t>
      </w:r>
    </w:p>
    <w:p>
      <w:r>
        <w:t>- 12 -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