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PE18.014920 vom 16. Juni 2020</w:t>
      </w:r>
    </w:p>
    <w:p>
      <w:r>
        <w:t>VD Tribunal cantonal, 2020-06-16, FR</w:t>
      </w:r>
    </w:p>
    <w:p>
      <w:r>
        <w:rPr>
          <w:b/>
        </w:rPr>
        <w:t xml:space="preserve">Quelle: </w:t>
      </w:r>
      <w:r>
        <w:t>https://mcp.opencaselaw.ch/entscheid/vd_gerichte_PE18.014920</w:t>
      </w:r>
    </w:p>
    <w:p>
      <w:r>
        <w:t>FR: VD_GERICHTE PE18.014920 du 16 juin 2020</w:t>
      </w:r>
    </w:p>
    <w:p>
      <w:r>
        <w:t>IT: VD_GERICHTE PE18.014920 del 16 giugno 2020</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et dans les formes prescrites (art. 385 al. 1 CPP) auprès de l’autorité compétente, par la partie plaignante qui a qualité pour recourir (art. 382 al. 1 CPP; ATF 140 IV 155 consid. 3.3.1), le recours de X.________ est recevable.</w:t>
      </w:r>
    </w:p>
    <w:p>
      <w:r>
        <w:rPr>
          <w:b/>
        </w:rPr>
        <w:t>E. 2.1</w:t>
      </w:r>
    </w:p>
    <w:p>
      <w:r>
        <w:t>X.________ fait valoir que son audition par la Procureure parait constituer une ouverture matérielle de la procédure au sens de l’art. 309 al. 1 CPP. Il soutient que le Ministère public n’aurait ainsi pas été fondé à rendre une ordonnance de non-entrée en matière, mais aurait dû clôturer l’enquête et, cas échéant, rendre une ordonnance de classement.</w:t>
      </w:r>
    </w:p>
    <w:p>
      <w:r>
        <w:rPr>
          <w:b/>
        </w:rPr>
        <w:t>E. 2.2</w:t>
      </w:r>
    </w:p>
    <w:p>
      <w:r>
        <w:t>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w:t>
      </w:r>
    </w:p>
    <w:p>
      <w:r>
        <w:t>- 5 - l'action pénale ne sont manifestement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 entrée en matière dans les cas où il apparaît d’emblée qu’aucun acte d’enquête ne pourra apporter la preuve d’une infraction à la charge d’une personne déterminée (TF 6B_375/2020 précité ; TF 6B_541/2017 du 20 décembre 2017 consid. 2.2). A teneur de l’art. 310 al. 1 let. c CPP, il en va de même s'il ressort de la dénonciation ou du rapport de police que les conditions mentionnées à l'art. 8 CPP imposent de renoncer à l'ouverture d'une poursuite pénale.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6B_239/2019 du 24 avril 2019 consid. 2.1).</w:t>
      </w:r>
    </w:p>
    <w:p>
      <w:r>
        <w:t>- 6 - Enfin, il a été jugé que le Ministère public avait matériellement ouvert une instruction lorsqu’il avait par exemple, reçu un rapport de police démontrant l’existence de soupçons importants à l’égard d’un prévenu, entendu lui-même des témoins, rendu une ordonnance de séquestre au sens de l’art. 263 CPP, requis une production de dossier (art. 19 CPP), ou ordonné d’autres mesures de contrainte, quand bien même aucune ouverture formelle de l’instruction au sens de l’art. 309 al. 1 CPP n’existait au dossier (Cornu, in: Kuhn/Jeanneret [éd.], op. cit., n. 3e ad art. 309 CPP).</w:t>
      </w:r>
    </w:p>
    <w:p>
      <w:r>
        <w:rPr>
          <w:b/>
        </w:rPr>
        <w:t>E. 2.3</w:t>
      </w:r>
    </w:p>
    <w:p>
      <w:r>
        <w:t>En l'espèce, aucune décision formelle d'ouverture d'une instruction n'a été rendue par le Ministère public avec la mention des prévenus et des infractions qui leur sont imputées, comme le prévoit l'art. 309 al. 3 CPP. La Procureure a uniquement invité le plaignant à préciser sa plainte et demandé la traduction d’un document en portugais qui était déjà au dossier. Ces actes ne dépassent pas le stade des premières investigations, ce qui permettait au Ministère public de rendre une ordonnance de non-entrée en matière. Le grief doit être écarté.</w:t>
      </w:r>
    </w:p>
    <w:p>
      <w:r>
        <w:rPr>
          <w:b/>
        </w:rPr>
        <w:t>E. 3.1</w:t>
      </w:r>
    </w:p>
    <w:p>
      <w:r>
        <w:t>Sur le fond, le recourant invoque le principe in dubio pro duriore. Il fait grief à la Procureure d’avoir retenu qu’il avait signé et compris la documentation bancaire afférente à son compte, et qu’il apparaissait être un homme d’affaires de renom. Il expose qu’il avait une confiance aveugle envers V.________ et M.________ allant jusqu’à accepter qu’aucun document ne lui soit remis sous prétexte que, selon eux, il risquait de rencontrer des problèmes avec le fisc, et qu’il a été trompé.</w:t>
      </w:r>
    </w:p>
    <w:p>
      <w:r>
        <w:rPr>
          <w:b/>
        </w:rPr>
        <w:t>E. 3.2.1</w:t>
      </w:r>
    </w:p>
    <w:p>
      <w:r>
        <w:t>Commet un abus de confiance au sens de l'art. 138 ch. 1 al. 2 CP, celui qui, sans droit, aura employé à son profit ou au profit d'un tiers, des valeurs patrimoniales qui lui avaient été confiées.</w:t>
      </w:r>
    </w:p>
    <w:p>
      <w:r>
        <w:t>- 7 -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Le comportement délictueux consiste à utiliser la valeur patrimoniale contrairement aux instructions reçues, en s'écartant de la destination fixée (ATF 129 IV 257 consid. 2.2.1).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ATF 121 IV 23 consid. 1c; ATF 119 IV 127 consid. 2). Emploie une valeur patrimoniale sans droit celui qui dissimule un encaissement qu'il a effectué pour autrui (Hurtado Pozo, Droit pénal, partie spéciale, 2009, n. 882 ad art. 138 CP et la référence citée). L'infraction est intentionnelle et suppose, même si le texte légal ne le dit pas expressément, l'existence d'un dessein d'enrichissement illégitime (ATF 118 IV 32 consid. 2a ; ATF 105 IV 29 consid. 3a). L'absence ou le retard dans l'invocation de la compensation constituent indéniablement des indices importants de l'absence d'une véritable volonté de compenser et, partant, l'existence d'un dessein d'enrichissement illégitime; de manière générale, il n'y a pas de dessein d'enrichissement illégitime chez celui qui s'approprie une chose dans le but de se payer, s'il a une créance au moins égale à la valeur de la chose dont il s'est approprié et s'il a vraiment agi en vue de se payer (ATF 105 IV 29 consid. 3a; ATF 98 IV 19 consid. 1 et 2; ATF 81 IV 228 consid. 2; CREP 22 mars 2019/221 consid. 4.2.1).</w:t>
      </w:r>
    </w:p>
    <w:p>
      <w:r>
        <w:rPr>
          <w:b/>
        </w:rPr>
        <w:t>E. 3.2.2</w:t>
      </w:r>
    </w:p>
    <w:p>
      <w:r>
        <w:t>En l’espèce, aucun document ne démontre que le recourant aurait confié des sommes d’argent à V.________ et à M.________, qui par</w:t>
      </w:r>
    </w:p>
    <w:p>
      <w:r>
        <w:t>- 8 - hypothèse les auraient sans droit employées à leur profit. L’abus de confiance est dès lors exclu.</w:t>
      </w:r>
    </w:p>
    <w:p>
      <w:r>
        <w:rPr>
          <w:b/>
        </w:rPr>
        <w:t>E. 3.3.1</w:t>
      </w:r>
    </w:p>
    <w:p>
      <w:r>
        <w:t>Aux termes de l'art. 158 ch. 1 al.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Cette infraction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ATF 120 IV 190 consid. 2b). Le devoir de gestion et de sauvegarde entraîne l’obligation d’accomplir des actes matériels ou juridiques, en particulier des actes tendant à la défense des intérêts pécuniaires d’autrui (TF 6B_845/2014 du 16 mars 2015 consid. 3.1; Corboz, Les infractions en droit suisse, vol. I, 3e éd., Berne 2010, nn. 5 et 6 ad art. 158 CP). Pour qu’il y ait gestion déloyale, il faut que le gérant ait violé une obligation liée à la gestion confiée (ATF 123 IV 17 consid. 3c).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w:t>
      </w:r>
    </w:p>
    <w:p>
      <w:r>
        <w:t>- 9 - pécuniaires qu'il administre, compte tenu des dispositions légales ou contractuelles applicables (TF 6B_845/2014 précité consid. 3.2; TF 6B_967/2013 du 21 février 2014 consid. 3.2; TF 6B_223/2010 du 13 janvier 2011 consid. 3.3.2; TF 6B_446/2010 du 14 janvier 2010 consid. 8.4.1).</w:t>
      </w:r>
    </w:p>
    <w:p>
      <w:r>
        <w:rPr>
          <w:b/>
        </w:rPr>
        <w:t>E. 3.3.2</w:t>
      </w:r>
    </w:p>
    <w:p>
      <w:r>
        <w:t>En l’occurrence, le recourant n’a produit aucun contrat le liant à V.________ ou à M.________. On lit à la pièce 12/2/1 que X.________, client depuis plusieurs années, a été présenté (ndr : à la banque) par M.________. Le document figurant sous numérotation 12/1/16 confère un droit de regard à cette dernière, étant précisé qu’elle n’est pas autorisée à retirer des titres, des dépôts ou des avoirs, ou à en disposer de quelque manière que ce soit, ni à donner des instructions relatives à leur gestion ou administration qui n’émaneraient pas de sa part. Toutefois, aucun document n’atteste que V.________ et M.________ étaient contractuellement tenus de veiller à la gestion des intérêts du recourant. De toute manière, à supposer que l’on puisse l’admettre, X.________ n’indique pas en quoi les prénommés auraient violé leurs devoirs si ce n’est en retenant qu’il n’était informé qu’oralement de l’évolution de ses comptes. Le recourant a toutefois accepté ce mode de faire durant plusieurs années et il ne saurait maintenant soutenir qu’il s’agit d’un acte de gestion déloyale. Par ailleurs, comme le relève la Procureure, le plaignant X.________ a ouvert deux relations bancaires, la première, le 23 mai 2005, auprès de la Compagnie bancaire L.________, au nom de sa société [...] SA, et la seconde, le 11 septembre 2012, auprès de la Banque privée L.________, en son propre nom. Il ressort des pièces fournies par le plaignant lui-même qu’il a manifestement signé, lors de l’ouverture des relations bancaires précitées, différentes formules le rendant clairement attentif aux risques que présentaient ses investissements. Il a ainsi notamment signé les documents portant les intitulés suivants : le 23 mai 2005, « Déclaration de connaissance des risques inhérents aux placements en fonds non traditionnels » (P. 15/125), le 16 novembre 2006 « Déclaration de connaissance des risques inhérents aux opérations sur les marchés émergents », et le 11 septembre 2012 «Déclaration de</w:t>
      </w:r>
    </w:p>
    <w:p>
      <w:r>
        <w:t>- 10 - connaissance des risques inhérents aux fonds atypiques et aux investissements sur les marchés émergents ». A cela s’ajoute encore que le recourant a ouvert une nouvelle relation bancaire, en son nom, auprès de la Banque L.________ le 11 mars 2014. A cette occasion, il a une fois encore signé différentes formules, dont notamment celle intitulée « Contrat de conseil en investissement » et « Risques inhérents aux fonds atypiques et aux investissements dans les marchés émergents », qui le rendaient encore attentif à certains risques (P. 12/4). Au vu des intitulés et du nombre des documents signés, on peine à croire que le plaignant ne se soit pas rendu compte de ce qu’il signait. Force est ainsi de constater que X.________ a été rendu attentif et mis en garde de manière claire, s’agissant en particulier des risques encourus, ce tant en français qu’en portugais. S’agissant de l’argument selon lequel V.________ et M.________ auraient profité de l’amitié et de la confiance qu’il leur portait, ainsi que de son âge pour l’inciter à faire des placements hasardeux, il n’est pas pertinent. Certes, au moment du dépôt de la plainte il était âgé de 85 ans, mais il faut bien admettre que X.________ était un homme d’affaires expérimenté dans le domaine des affaires et qu’il était encore actif professionnellement entre 2004 et 2013 au moins. Rien ne permet de considérer que l’on ait abusé de sa faiblesse, étant une fois encore rappelé qu’il a été, à de nombreuses et distinctes reprises, rendu attentif aux risques encourus.</w:t>
      </w:r>
    </w:p>
    <w:p>
      <w:r>
        <w:rPr>
          <w:b/>
        </w:rPr>
        <w:t>E. 4</w:t>
      </w:r>
    </w:p>
    <w:p>
      <w:r>
        <w:t>Il résulte de ce qui précède que le recours, manifestement mal fondé, doit être rejeté sans échange d’écritures (art. 390 al. 2 CPP), et l’ordonnance contestée confirmée. Les frais de la procédure de recours, constitués en l’espèce du seul émolument d’arrêt (art. 422 al. 1 CPP), par 1’100 fr. (art. 20 al. 1 TFIP [Tarif des frais de procédure et indemnités en matière pénale du 28</w:t>
      </w:r>
    </w:p>
    <w:p>
      <w:r>
        <w:t>- 11 - septembre 2010 ; BLV 312.03.1]), seront mis à la charge du recourant, qui succombe (art. 428 al. 1 CPP). Par ces motifs, la Chambre des recours pénale prononce : I. Le recours est rejeté. II. L’ordonnance du 29 avril 2020 est confirmée. III. Les frais d’arrêt, par 1'100 fr. (mille cent francs), sont mis à la charge de X.________. IV. L’arrêt est exécutoire. Le président : La greffière : Du Le présent arrêt, dont la rédaction a été approuvée à huis clos, est notifié, par l'envoi d'une copie complète, à : - Me Thibault Fresquet, avocat (pour X.________), - Ministère public central, et communiqué à : - Mme la Procureure de l’arrondissement de l’Est vaudois,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